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4A86C7FF" w:rsidR="00E173F9" w:rsidRDefault="00234F88">
      <w:pPr>
        <w:pStyle w:val="Header"/>
        <w:keepNext/>
        <w:keepLines/>
        <w:widowControl/>
        <w:tabs>
          <w:tab w:val="right" w:pos="10440"/>
          <w:tab w:val="right" w:pos="13323"/>
        </w:tabs>
        <w:outlineLvl w:val="0"/>
        <w:rPr>
          <w:rFonts w:eastAsia="SimSun" w:cs="Arial"/>
          <w:sz w:val="24"/>
          <w:lang w:eastAsia="zh-CN"/>
        </w:rPr>
      </w:pPr>
      <w:bookmarkStart w:id="0" w:name="OLE_LINK49"/>
      <w:bookmarkStart w:id="1" w:name="_Toc193024528"/>
      <w:r>
        <w:rPr>
          <w:rFonts w:cs="Arial"/>
          <w:sz w:val="24"/>
        </w:rPr>
        <w:t>3</w:t>
      </w:r>
      <w:bookmarkStart w:id="2" w:name="_Ref173865199"/>
      <w:bookmarkEnd w:id="2"/>
      <w:r>
        <w:rPr>
          <w:rFonts w:cs="Arial"/>
          <w:sz w:val="24"/>
        </w:rPr>
        <w:t>GPP TSG-RAN WG4 Meeting #</w:t>
      </w:r>
      <w:r>
        <w:rPr>
          <w:rFonts w:cs="Arial"/>
        </w:rPr>
        <w:t xml:space="preserve"> </w:t>
      </w:r>
      <w:r>
        <w:rPr>
          <w:rFonts w:cs="Arial"/>
          <w:sz w:val="24"/>
        </w:rPr>
        <w:t>1</w:t>
      </w:r>
      <w:r w:rsidR="00656B99">
        <w:rPr>
          <w:rFonts w:cs="Arial"/>
          <w:sz w:val="24"/>
        </w:rPr>
        <w:t>1</w:t>
      </w:r>
      <w:r w:rsidR="00D34085">
        <w:rPr>
          <w:rFonts w:cs="Arial"/>
          <w:sz w:val="24"/>
        </w:rPr>
        <w:t>4</w:t>
      </w:r>
      <w:r w:rsidR="00F77AFD">
        <w:rPr>
          <w:rFonts w:cs="Arial"/>
          <w:sz w:val="24"/>
          <w:lang w:eastAsia="zh-CN"/>
        </w:rPr>
        <w:t>b</w:t>
      </w:r>
      <w:r>
        <w:rPr>
          <w:rFonts w:cs="Arial" w:hint="eastAsia"/>
          <w:sz w:val="24"/>
          <w:lang w:eastAsia="zh-CN"/>
        </w:rPr>
        <w:t xml:space="preserve">                                                        </w:t>
      </w:r>
      <w:r w:rsidR="002C2AA5" w:rsidRPr="002C2AA5">
        <w:rPr>
          <w:rFonts w:cs="Arial"/>
          <w:sz w:val="24"/>
        </w:rPr>
        <w:t xml:space="preserve"> </w:t>
      </w:r>
      <w:r w:rsidR="006448AE" w:rsidRPr="006448AE">
        <w:rPr>
          <w:rFonts w:cs="Arial"/>
          <w:sz w:val="24"/>
        </w:rPr>
        <w:t>R4-2503238</w:t>
      </w:r>
    </w:p>
    <w:bookmarkEnd w:id="0"/>
    <w:p w14:paraId="16F36080" w14:textId="07DA9EED" w:rsidR="00E173F9" w:rsidRDefault="00F505A3">
      <w:pPr>
        <w:pStyle w:val="Header"/>
        <w:keepNext/>
        <w:keepLines/>
        <w:widowControl/>
        <w:tabs>
          <w:tab w:val="right" w:pos="9781"/>
          <w:tab w:val="right" w:pos="13323"/>
        </w:tabs>
        <w:outlineLvl w:val="0"/>
        <w:rPr>
          <w:rFonts w:eastAsia="SimSun" w:cs="Arial"/>
          <w:sz w:val="24"/>
          <w:lang w:eastAsia="zh-CN"/>
        </w:rPr>
      </w:pPr>
      <w:r>
        <w:rPr>
          <w:rFonts w:eastAsia="SimSun" w:cs="Arial"/>
          <w:sz w:val="24"/>
          <w:lang w:eastAsia="zh-CN"/>
        </w:rPr>
        <w:t>Wuhan</w:t>
      </w:r>
      <w:r w:rsidR="000F3554">
        <w:rPr>
          <w:rFonts w:eastAsia="SimSun" w:cs="Arial"/>
          <w:sz w:val="24"/>
          <w:lang w:eastAsia="zh-CN"/>
        </w:rPr>
        <w:t xml:space="preserve">, </w:t>
      </w:r>
      <w:r>
        <w:rPr>
          <w:rFonts w:eastAsia="SimSun" w:cs="Arial"/>
          <w:sz w:val="24"/>
          <w:lang w:eastAsia="zh-CN"/>
        </w:rPr>
        <w:t>China</w:t>
      </w:r>
      <w:r w:rsidR="008575EF" w:rsidRPr="008575EF">
        <w:rPr>
          <w:rFonts w:eastAsia="SimSun" w:cs="Arial"/>
          <w:sz w:val="24"/>
          <w:lang w:eastAsia="zh-CN"/>
        </w:rPr>
        <w:t xml:space="preserve">, </w:t>
      </w:r>
      <w:r w:rsidR="00D34085">
        <w:rPr>
          <w:rFonts w:eastAsia="SimSun" w:cs="Arial"/>
          <w:sz w:val="24"/>
          <w:lang w:eastAsia="zh-CN"/>
        </w:rPr>
        <w:t>7</w:t>
      </w:r>
      <w:r w:rsidR="00836EA6" w:rsidRPr="007B15C4">
        <w:rPr>
          <w:rFonts w:eastAsia="SimSun" w:cs="Arial"/>
          <w:sz w:val="24"/>
          <w:lang w:eastAsia="zh-CN"/>
        </w:rPr>
        <w:t xml:space="preserve"> – </w:t>
      </w:r>
      <w:r>
        <w:rPr>
          <w:rFonts w:eastAsia="SimSun" w:cs="Arial"/>
          <w:sz w:val="24"/>
          <w:lang w:eastAsia="zh-CN"/>
        </w:rPr>
        <w:t>1</w:t>
      </w:r>
      <w:r w:rsidR="00D34085">
        <w:rPr>
          <w:rFonts w:eastAsia="SimSun" w:cs="Arial"/>
          <w:sz w:val="24"/>
          <w:lang w:eastAsia="zh-CN"/>
        </w:rPr>
        <w:t>1</w:t>
      </w:r>
      <w:r w:rsidR="00836EA6" w:rsidRPr="007B15C4">
        <w:rPr>
          <w:rFonts w:eastAsia="SimSun" w:cs="Arial"/>
          <w:sz w:val="24"/>
          <w:lang w:eastAsia="zh-CN"/>
        </w:rPr>
        <w:t xml:space="preserve"> </w:t>
      </w:r>
      <w:r>
        <w:rPr>
          <w:rFonts w:eastAsia="SimSun" w:cs="Arial"/>
          <w:sz w:val="24"/>
          <w:lang w:eastAsia="zh-CN"/>
        </w:rPr>
        <w:t>April</w:t>
      </w:r>
      <w:r w:rsidR="00836EA6" w:rsidRPr="007B15C4">
        <w:rPr>
          <w:rFonts w:eastAsia="SimSun" w:cs="Arial"/>
          <w:sz w:val="24"/>
          <w:lang w:eastAsia="zh-CN"/>
        </w:rPr>
        <w:t xml:space="preserve"> 202</w:t>
      </w:r>
      <w:r w:rsidR="00D34085">
        <w:rPr>
          <w:rFonts w:eastAsia="SimSun" w:cs="Arial"/>
          <w:sz w:val="24"/>
          <w:lang w:eastAsia="zh-CN"/>
        </w:rPr>
        <w:t>5</w:t>
      </w:r>
    </w:p>
    <w:p w14:paraId="11C9BE15" w14:textId="77777777" w:rsidR="00E173F9" w:rsidRDefault="00E173F9">
      <w:pPr>
        <w:pStyle w:val="Header"/>
        <w:keepNext/>
        <w:keepLines/>
        <w:tabs>
          <w:tab w:val="right" w:pos="9781"/>
          <w:tab w:val="right" w:pos="13323"/>
        </w:tabs>
        <w:rPr>
          <w:rFonts w:eastAsia="SimSun" w:cs="Arial"/>
          <w:sz w:val="24"/>
          <w:lang w:eastAsia="zh-CN"/>
        </w:rPr>
      </w:pPr>
    </w:p>
    <w:p w14:paraId="32B664C7" w14:textId="2D925557" w:rsidR="00BA4ED6" w:rsidRDefault="006469D1" w:rsidP="00BA4ED6">
      <w:pPr>
        <w:keepNext/>
        <w:keepLines/>
        <w:widowControl w:val="0"/>
        <w:spacing w:afterLines="40" w:after="96"/>
        <w:ind w:left="2126" w:hanging="2126"/>
        <w:jc w:val="both"/>
        <w:outlineLvl w:val="0"/>
        <w:rPr>
          <w:rFonts w:ascii="Arial" w:hAnsi="Arial"/>
          <w:bCs/>
          <w:szCs w:val="22"/>
          <w:lang w:eastAsia="zh-CN"/>
        </w:rPr>
      </w:pPr>
      <w:r w:rsidRPr="00F52A3E">
        <w:rPr>
          <w:rFonts w:ascii="Arial" w:hAnsi="Arial"/>
          <w:b/>
          <w:szCs w:val="22"/>
          <w:lang w:eastAsia="zh-CN"/>
        </w:rPr>
        <w:t>Title:</w:t>
      </w:r>
      <w:r w:rsidRPr="00F52A3E">
        <w:rPr>
          <w:rFonts w:ascii="Arial" w:hAnsi="Arial" w:hint="eastAsia"/>
          <w:b/>
          <w:szCs w:val="22"/>
          <w:lang w:eastAsia="zh-CN"/>
        </w:rPr>
        <w:tab/>
      </w:r>
      <w:r w:rsidR="00F505A3" w:rsidRPr="00F505A3">
        <w:rPr>
          <w:rFonts w:ascii="Arial" w:hAnsi="Arial"/>
          <w:bCs/>
          <w:szCs w:val="22"/>
          <w:lang w:eastAsia="zh-CN"/>
        </w:rPr>
        <w:t>On</w:t>
      </w:r>
      <w:r w:rsidR="00F505A3">
        <w:rPr>
          <w:rFonts w:ascii="Arial" w:hAnsi="Arial"/>
          <w:bCs/>
          <w:szCs w:val="22"/>
          <w:lang w:eastAsia="zh-CN"/>
        </w:rPr>
        <w:t xml:space="preserve"> </w:t>
      </w:r>
      <w:r w:rsidR="006F0056" w:rsidRPr="006F0056">
        <w:rPr>
          <w:rFonts w:ascii="Arial" w:hAnsi="Arial"/>
          <w:bCs/>
          <w:szCs w:val="22"/>
          <w:lang w:eastAsia="zh-CN"/>
        </w:rPr>
        <w:t xml:space="preserve">1UL </w:t>
      </w:r>
      <w:r w:rsidR="004A6E27">
        <w:rPr>
          <w:rFonts w:ascii="Arial" w:hAnsi="Arial"/>
          <w:bCs/>
          <w:szCs w:val="22"/>
          <w:lang w:eastAsia="zh-CN"/>
        </w:rPr>
        <w:t xml:space="preserve">HPUE </w:t>
      </w:r>
      <w:r w:rsidR="006F0056" w:rsidRPr="006F0056">
        <w:rPr>
          <w:rFonts w:ascii="Arial" w:hAnsi="Arial"/>
          <w:bCs/>
          <w:szCs w:val="22"/>
          <w:lang w:eastAsia="zh-CN"/>
        </w:rPr>
        <w:t>MSD simplifications</w:t>
      </w:r>
    </w:p>
    <w:p w14:paraId="2F83AED2" w14:textId="6D4DD21A"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eastAsia="zh-CN"/>
        </w:rPr>
      </w:pPr>
      <w:r w:rsidRPr="00F52A3E">
        <w:rPr>
          <w:rFonts w:ascii="Arial" w:hAnsi="Arial"/>
          <w:b/>
          <w:szCs w:val="22"/>
          <w:lang w:eastAsia="zh-CN"/>
        </w:rPr>
        <w:t>Agenda Item:</w:t>
      </w:r>
      <w:r w:rsidRPr="00F52A3E">
        <w:rPr>
          <w:rFonts w:ascii="Arial" w:hAnsi="Arial" w:hint="eastAsia"/>
          <w:b/>
          <w:szCs w:val="22"/>
          <w:lang w:eastAsia="zh-CN"/>
        </w:rPr>
        <w:tab/>
      </w:r>
      <w:r w:rsidR="0015591E" w:rsidRPr="00181CE0">
        <w:rPr>
          <w:rFonts w:ascii="Arial" w:hAnsi="Arial" w:cs="Arial"/>
          <w:bCs/>
          <w:sz w:val="22"/>
        </w:rPr>
        <w:t>7.1.1.1.1</w:t>
      </w:r>
    </w:p>
    <w:p w14:paraId="69D67D90" w14:textId="646B6720"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w:t>
      </w:r>
      <w:r w:rsidR="00E27088">
        <w:rPr>
          <w:rFonts w:ascii="Arial" w:eastAsia="SimSun" w:hAnsi="Arial"/>
          <w:szCs w:val="22"/>
          <w:lang w:eastAsia="zh-CN"/>
        </w:rPr>
        <w:t>,</w:t>
      </w:r>
      <w:r w:rsidR="00987B5E">
        <w:rPr>
          <w:rFonts w:ascii="Arial" w:eastAsia="SimSun" w:hAnsi="Arial"/>
          <w:szCs w:val="22"/>
          <w:lang w:eastAsia="zh-CN"/>
        </w:rPr>
        <w:t xml:space="preserve">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705975CB" w:rsidR="002D36AF" w:rsidRPr="00512242" w:rsidRDefault="006F0056" w:rsidP="002D36AF">
      <w:pPr>
        <w:keepNext/>
        <w:keepLines/>
        <w:widowControl w:val="0"/>
        <w:spacing w:before="120" w:after="120"/>
        <w:jc w:val="both"/>
        <w:rPr>
          <w:rFonts w:eastAsia="SimSun"/>
          <w:bCs/>
          <w:sz w:val="20"/>
          <w:lang w:eastAsia="zh-CN"/>
        </w:rPr>
      </w:pPr>
      <w:bookmarkStart w:id="3" w:name="OLE_LINK20"/>
      <w:r w:rsidRPr="006F0056">
        <w:rPr>
          <w:rFonts w:eastAsia="SimSun"/>
          <w:bCs/>
          <w:sz w:val="20"/>
          <w:lang w:eastAsia="zh-CN"/>
        </w:rPr>
        <w:t>The discussion paper presents our views on 1UL MSD simplification</w:t>
      </w:r>
      <w:r w:rsidR="00F505A3">
        <w:rPr>
          <w:rFonts w:eastAsia="SimSun"/>
          <w:bCs/>
          <w:sz w:val="20"/>
          <w:lang w:eastAsia="zh-CN"/>
        </w:rPr>
        <w:t>s for Rel-19 as a follow up of</w:t>
      </w:r>
      <w:r w:rsidRPr="006F0056">
        <w:rPr>
          <w:rFonts w:eastAsia="SimSun"/>
          <w:bCs/>
          <w:sz w:val="20"/>
          <w:lang w:eastAsia="zh-CN"/>
        </w:rPr>
        <w:t xml:space="preserve"> [1]</w:t>
      </w:r>
      <w:r w:rsidR="00F505A3">
        <w:rPr>
          <w:rFonts w:eastAsia="SimSun"/>
          <w:bCs/>
          <w:sz w:val="20"/>
          <w:lang w:eastAsia="zh-CN"/>
        </w:rPr>
        <w:t>. We also address concerns raised at RAN4 meeting #114 on our HPUE to power class 3 (PC3) look-up tables (LUT).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0CE182C1" w14:textId="48A5DFA6" w:rsidR="00D8330E" w:rsidRDefault="00D8330E" w:rsidP="00D8330E">
      <w:pPr>
        <w:ind w:right="11"/>
        <w:jc w:val="both"/>
      </w:pPr>
      <w:r w:rsidRPr="00D8330E">
        <w:rPr>
          <w:sz w:val="20"/>
          <w:szCs w:val="18"/>
        </w:rPr>
        <w:t>At meeting #113, it was agreed in way forward [2] that RAN4 HPUE MSD requirements will be simplified using our previous proposals [3,4,5,6] of delta power class MSD “</w:t>
      </w:r>
      <w:r>
        <w:sym w:font="Symbol" w:char="F044"/>
      </w:r>
      <w:proofErr w:type="spellStart"/>
      <w:r w:rsidRPr="00D8330E">
        <w:rPr>
          <w:sz w:val="20"/>
          <w:szCs w:val="18"/>
        </w:rPr>
        <w:t>PCx</w:t>
      </w:r>
      <w:proofErr w:type="spellEnd"/>
      <w:r w:rsidRPr="00D8330E">
        <w:rPr>
          <w:sz w:val="20"/>
          <w:szCs w:val="18"/>
        </w:rPr>
        <w:t>” (x=1.5 or 2) as reproduced below.</w:t>
      </w:r>
    </w:p>
    <w:p w14:paraId="4E673865" w14:textId="405C387D" w:rsidR="00D8330E" w:rsidRPr="00D8330E" w:rsidRDefault="00D8330E" w:rsidP="003310C2">
      <w:pPr>
        <w:jc w:val="center"/>
        <w:rPr>
          <w:rFonts w:eastAsia="MS Mincho"/>
          <w:sz w:val="22"/>
          <w:szCs w:val="20"/>
          <w:lang w:val="en-GB"/>
        </w:rPr>
      </w:pPr>
      <w:r w:rsidRPr="00D8330E">
        <w:rPr>
          <w:noProof/>
        </w:rPr>
        <w:drawing>
          <wp:inline distT="0" distB="0" distL="0" distR="0" wp14:anchorId="161747F3" wp14:editId="02952F00">
            <wp:extent cx="5460827" cy="1745697"/>
            <wp:effectExtent l="19050" t="19050" r="26035" b="26035"/>
            <wp:docPr id="1129742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42965" name=""/>
                    <pic:cNvPicPr/>
                  </pic:nvPicPr>
                  <pic:blipFill>
                    <a:blip r:embed="rId9"/>
                    <a:stretch>
                      <a:fillRect/>
                    </a:stretch>
                  </pic:blipFill>
                  <pic:spPr>
                    <a:xfrm>
                      <a:off x="0" y="0"/>
                      <a:ext cx="5477087" cy="1750895"/>
                    </a:xfrm>
                    <a:prstGeom prst="rect">
                      <a:avLst/>
                    </a:prstGeom>
                    <a:ln w="6350">
                      <a:solidFill>
                        <a:schemeClr val="tx1">
                          <a:lumMod val="85000"/>
                          <a:lumOff val="15000"/>
                        </a:schemeClr>
                      </a:solidFill>
                    </a:ln>
                  </pic:spPr>
                </pic:pic>
              </a:graphicData>
            </a:graphic>
          </wp:inline>
        </w:drawing>
      </w:r>
    </w:p>
    <w:p w14:paraId="68EB622A" w14:textId="70D2BF63" w:rsidR="00D8330E" w:rsidRDefault="00910A9F" w:rsidP="00F47918">
      <w:pPr>
        <w:ind w:right="281"/>
        <w:jc w:val="both"/>
        <w:rPr>
          <w:sz w:val="20"/>
        </w:rPr>
      </w:pPr>
      <w:r>
        <w:rPr>
          <w:sz w:val="20"/>
        </w:rPr>
        <w:t xml:space="preserve">Based on </w:t>
      </w:r>
      <w:r>
        <w:rPr>
          <w:sz w:val="20"/>
        </w:rPr>
        <w:fldChar w:fldCharType="begin"/>
      </w:r>
      <w:r>
        <w:rPr>
          <w:sz w:val="20"/>
        </w:rPr>
        <w:instrText xml:space="preserve"> REF _Ref181631758 \h </w:instrText>
      </w:r>
      <w:r w:rsidR="00F47918">
        <w:rPr>
          <w:sz w:val="20"/>
        </w:rPr>
        <w:instrText xml:space="preserve"> \* MERGEFORMAT </w:instrText>
      </w:r>
      <w:r>
        <w:rPr>
          <w:sz w:val="20"/>
        </w:rPr>
      </w:r>
      <w:r>
        <w:rPr>
          <w:sz w:val="20"/>
        </w:rPr>
        <w:fldChar w:fldCharType="separate"/>
      </w:r>
      <w:r w:rsidRPr="007C6850">
        <w:rPr>
          <w:sz w:val="20"/>
          <w:szCs w:val="18"/>
        </w:rPr>
        <w:t xml:space="preserve">Figure </w:t>
      </w:r>
      <w:r>
        <w:rPr>
          <w:noProof/>
          <w:sz w:val="20"/>
          <w:szCs w:val="18"/>
        </w:rPr>
        <w:t>1</w:t>
      </w:r>
      <w:r>
        <w:rPr>
          <w:sz w:val="20"/>
        </w:rPr>
        <w:fldChar w:fldCharType="end"/>
      </w:r>
      <w:r>
        <w:rPr>
          <w:sz w:val="20"/>
        </w:rPr>
        <w:t xml:space="preserve"> [6], w</w:t>
      </w:r>
      <w:r w:rsidR="00D8330E">
        <w:rPr>
          <w:sz w:val="20"/>
        </w:rPr>
        <w:t xml:space="preserve">e remind that only 3 variables are needed to calculate the 1UL HPUE </w:t>
      </w:r>
      <w:r w:rsidR="00D8330E">
        <w:rPr>
          <w:sz w:val="20"/>
          <w:szCs w:val="18"/>
        </w:rPr>
        <w:sym w:font="Symbol" w:char="F044"/>
      </w:r>
      <w:proofErr w:type="spellStart"/>
      <w:r w:rsidR="00D8330E">
        <w:rPr>
          <w:sz w:val="20"/>
          <w:szCs w:val="18"/>
        </w:rPr>
        <w:t>PCx</w:t>
      </w:r>
      <w:proofErr w:type="spellEnd"/>
      <w:r w:rsidR="00D8330E">
        <w:rPr>
          <w:sz w:val="20"/>
          <w:szCs w:val="18"/>
        </w:rPr>
        <w:t xml:space="preserve"> </w:t>
      </w:r>
      <w:r>
        <w:rPr>
          <w:sz w:val="20"/>
          <w:szCs w:val="18"/>
        </w:rPr>
        <w:t xml:space="preserve">and </w:t>
      </w:r>
      <w:r w:rsidR="00D8330E">
        <w:rPr>
          <w:sz w:val="20"/>
        </w:rPr>
        <w:t>corresponding LUTs</w:t>
      </w:r>
      <w:r>
        <w:rPr>
          <w:sz w:val="20"/>
        </w:rPr>
        <w:t>/</w:t>
      </w:r>
      <w:r w:rsidR="00D8330E">
        <w:rPr>
          <w:sz w:val="20"/>
        </w:rPr>
        <w:t>equations.</w:t>
      </w:r>
    </w:p>
    <w:p w14:paraId="54CEEBDD" w14:textId="0C73BC7F" w:rsidR="00D8330E" w:rsidRPr="00D8330E" w:rsidRDefault="00D8330E" w:rsidP="000D1D7A">
      <w:pPr>
        <w:pStyle w:val="ListParagraph"/>
        <w:numPr>
          <w:ilvl w:val="0"/>
          <w:numId w:val="31"/>
        </w:numPr>
        <w:ind w:right="281"/>
        <w:rPr>
          <w:sz w:val="20"/>
        </w:rPr>
      </w:pPr>
      <w:r>
        <w:rPr>
          <w:sz w:val="20"/>
        </w:rPr>
        <w:t>PC3 Main to Diversity branch interference power imbalance,</w:t>
      </w:r>
    </w:p>
    <w:p w14:paraId="2921DF8B" w14:textId="0E14F385" w:rsidR="00D8330E" w:rsidRDefault="00D8330E" w:rsidP="000D1D7A">
      <w:pPr>
        <w:pStyle w:val="ListParagraph"/>
        <w:numPr>
          <w:ilvl w:val="0"/>
          <w:numId w:val="31"/>
        </w:numPr>
        <w:ind w:right="281"/>
        <w:rPr>
          <w:sz w:val="20"/>
        </w:rPr>
      </w:pPr>
      <w:r>
        <w:rPr>
          <w:sz w:val="20"/>
        </w:rPr>
        <w:t>Interference power level increase from 1Tx PC3 to 1Tx PC2,</w:t>
      </w:r>
    </w:p>
    <w:p w14:paraId="13899BC2" w14:textId="0B66EF58" w:rsidR="00D8330E" w:rsidRDefault="00D8330E" w:rsidP="000D1D7A">
      <w:pPr>
        <w:pStyle w:val="ListParagraph"/>
        <w:numPr>
          <w:ilvl w:val="0"/>
          <w:numId w:val="31"/>
        </w:numPr>
        <w:ind w:right="281"/>
        <w:rPr>
          <w:sz w:val="20"/>
        </w:rPr>
      </w:pPr>
      <w:r>
        <w:rPr>
          <w:sz w:val="20"/>
        </w:rPr>
        <w:t>Reverse-IMD interference power level increase for 2Tx PC3+PC3 or PC2+PC2.</w:t>
      </w:r>
    </w:p>
    <w:p w14:paraId="476EADDB" w14:textId="77777777" w:rsidR="003310C2" w:rsidRDefault="003310C2" w:rsidP="003310C2">
      <w:pPr>
        <w:pStyle w:val="ListParagraph"/>
        <w:ind w:left="360" w:right="281"/>
        <w:rPr>
          <w:sz w:val="20"/>
        </w:rPr>
      </w:pPr>
    </w:p>
    <w:p w14:paraId="42D026E3" w14:textId="77777777" w:rsidR="00D8330E" w:rsidRPr="007C6850" w:rsidRDefault="00D8330E" w:rsidP="00D8330E">
      <w:pPr>
        <w:pStyle w:val="ListParagraph"/>
        <w:spacing w:after="120"/>
        <w:rPr>
          <w:sz w:val="20"/>
          <w:lang w:eastAsia="zh-CN"/>
        </w:rPr>
      </w:pPr>
      <w:r w:rsidRPr="007C6850">
        <w:rPr>
          <w:noProof/>
        </w:rPr>
        <w:drawing>
          <wp:inline distT="0" distB="0" distL="0" distR="0" wp14:anchorId="7D790490" wp14:editId="1D24A84E">
            <wp:extent cx="5797550" cy="1828083"/>
            <wp:effectExtent l="0" t="0" r="0" b="1270"/>
            <wp:docPr id="13553485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348537" name="Picture 1" descr="A screenshot of a computer&#10;&#10;Description automatically generated"/>
                    <pic:cNvPicPr/>
                  </pic:nvPicPr>
                  <pic:blipFill>
                    <a:blip r:embed="rId10"/>
                    <a:stretch>
                      <a:fillRect/>
                    </a:stretch>
                  </pic:blipFill>
                  <pic:spPr>
                    <a:xfrm>
                      <a:off x="0" y="0"/>
                      <a:ext cx="5804168" cy="1830170"/>
                    </a:xfrm>
                    <a:prstGeom prst="rect">
                      <a:avLst/>
                    </a:prstGeom>
                  </pic:spPr>
                </pic:pic>
              </a:graphicData>
            </a:graphic>
          </wp:inline>
        </w:drawing>
      </w:r>
    </w:p>
    <w:p w14:paraId="4670A7E2" w14:textId="77777777" w:rsidR="00D8330E" w:rsidRPr="007C6850" w:rsidRDefault="00D8330E" w:rsidP="00D8330E">
      <w:pPr>
        <w:pStyle w:val="Caption"/>
        <w:spacing w:before="0"/>
        <w:ind w:left="720"/>
        <w:rPr>
          <w:rFonts w:ascii="Times New Roman" w:hAnsi="Times New Roman" w:cs="Times New Roman"/>
          <w:color w:val="auto"/>
          <w:sz w:val="18"/>
          <w:szCs w:val="18"/>
          <w:lang w:eastAsia="zh-CN"/>
        </w:rPr>
      </w:pPr>
      <w:bookmarkStart w:id="4" w:name="_Ref181631758"/>
      <w:r w:rsidRPr="007C6850">
        <w:rPr>
          <w:rFonts w:ascii="Times New Roman" w:hAnsi="Times New Roman" w:cs="Times New Roman"/>
          <w:color w:val="auto"/>
          <w:sz w:val="20"/>
          <w:szCs w:val="18"/>
        </w:rPr>
        <w:t xml:space="preserve">Figure </w:t>
      </w:r>
      <w:r w:rsidRPr="007C6850">
        <w:rPr>
          <w:rFonts w:ascii="Times New Roman" w:hAnsi="Times New Roman" w:cs="Times New Roman"/>
          <w:color w:val="auto"/>
          <w:sz w:val="20"/>
          <w:szCs w:val="18"/>
        </w:rPr>
        <w:fldChar w:fldCharType="begin"/>
      </w:r>
      <w:r w:rsidRPr="007C6850">
        <w:rPr>
          <w:rFonts w:ascii="Times New Roman" w:hAnsi="Times New Roman" w:cs="Times New Roman"/>
          <w:color w:val="auto"/>
          <w:sz w:val="20"/>
          <w:szCs w:val="18"/>
        </w:rPr>
        <w:instrText xml:space="preserve"> SEQ Figure \* ARABIC </w:instrText>
      </w:r>
      <w:r w:rsidRPr="007C6850">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1</w:t>
      </w:r>
      <w:r w:rsidRPr="007C6850">
        <w:rPr>
          <w:rFonts w:ascii="Times New Roman" w:hAnsi="Times New Roman" w:cs="Times New Roman"/>
          <w:color w:val="auto"/>
          <w:sz w:val="20"/>
          <w:szCs w:val="18"/>
        </w:rPr>
        <w:fldChar w:fldCharType="end"/>
      </w:r>
      <w:bookmarkEnd w:id="4"/>
      <w:r w:rsidRPr="007C6850">
        <w:rPr>
          <w:rFonts w:ascii="Times New Roman" w:hAnsi="Times New Roman" w:cs="Times New Roman"/>
          <w:color w:val="auto"/>
          <w:sz w:val="20"/>
          <w:szCs w:val="18"/>
        </w:rPr>
        <w:t xml:space="preserve">: </w:t>
      </w:r>
      <w:r w:rsidRPr="001A6F57">
        <w:rPr>
          <w:rFonts w:ascii="Times New Roman" w:hAnsi="Times New Roman" w:cs="Times New Roman"/>
          <w:b w:val="0"/>
          <w:bCs/>
          <w:color w:val="auto"/>
          <w:sz w:val="20"/>
          <w:szCs w:val="18"/>
        </w:rPr>
        <w:t xml:space="preserve">Example of </w:t>
      </w:r>
      <w:r w:rsidRPr="007C6850">
        <w:rPr>
          <w:rFonts w:ascii="Times New Roman" w:hAnsi="Times New Roman" w:cs="Times New Roman"/>
          <w:b w:val="0"/>
          <w:bCs/>
          <w:color w:val="auto"/>
          <w:sz w:val="20"/>
          <w:szCs w:val="18"/>
        </w:rPr>
        <w:t xml:space="preserve">Band n77 UL2/DL1 MSD due to </w:t>
      </w:r>
      <w:r>
        <w:rPr>
          <w:rFonts w:ascii="Times New Roman" w:hAnsi="Times New Roman" w:cs="Times New Roman"/>
          <w:b w:val="0"/>
          <w:bCs/>
          <w:color w:val="auto"/>
          <w:sz w:val="20"/>
          <w:szCs w:val="18"/>
        </w:rPr>
        <w:t>B</w:t>
      </w:r>
      <w:r w:rsidRPr="007C6850">
        <w:rPr>
          <w:rFonts w:ascii="Times New Roman" w:hAnsi="Times New Roman" w:cs="Times New Roman"/>
          <w:b w:val="0"/>
          <w:bCs/>
          <w:color w:val="auto"/>
          <w:sz w:val="20"/>
          <w:szCs w:val="18"/>
        </w:rPr>
        <w:t>and n25 1UL PC2 1Tx and PC2 2Tx operation</w:t>
      </w:r>
      <w:r>
        <w:rPr>
          <w:rFonts w:ascii="Times New Roman" w:hAnsi="Times New Roman" w:cs="Times New Roman"/>
          <w:b w:val="0"/>
          <w:bCs/>
          <w:color w:val="auto"/>
          <w:sz w:val="20"/>
          <w:szCs w:val="18"/>
        </w:rPr>
        <w:t>, assuming 2.9dB 1Tx PC2 interference increase from 1Tx PC3, 0.5dB rev-IMD and 9dB Main/Div. imbalance.</w:t>
      </w:r>
    </w:p>
    <w:p w14:paraId="4697F38D" w14:textId="46A316D5" w:rsidR="00D8330E" w:rsidRPr="00D8330E" w:rsidRDefault="00D8330E" w:rsidP="00F47918">
      <w:pPr>
        <w:jc w:val="both"/>
      </w:pPr>
      <w:r>
        <w:rPr>
          <w:sz w:val="20"/>
        </w:rPr>
        <w:t>In this paper, we recap and re-submit the justifications from [1] for adopting 6dB</w:t>
      </w:r>
      <w:r w:rsidR="00910A9F">
        <w:rPr>
          <w:sz w:val="20"/>
        </w:rPr>
        <w:t xml:space="preserve"> PC3 Main/Diversity imbalance and</w:t>
      </w:r>
      <w:r>
        <w:rPr>
          <w:sz w:val="20"/>
        </w:rPr>
        <w:t xml:space="preserve"> 3dB</w:t>
      </w:r>
      <w:r w:rsidR="00910A9F">
        <w:rPr>
          <w:sz w:val="20"/>
        </w:rPr>
        <w:t xml:space="preserve"> </w:t>
      </w:r>
      <w:r>
        <w:rPr>
          <w:sz w:val="20"/>
        </w:rPr>
        <w:t>1Tx PC2 interference increase from 1Tx PC3</w:t>
      </w:r>
      <w:r w:rsidR="00910A9F">
        <w:rPr>
          <w:sz w:val="20"/>
        </w:rPr>
        <w:t xml:space="preserve">. For reverse-IMD, we do not see the need to further discuss since there </w:t>
      </w:r>
      <w:r w:rsidR="00F47918">
        <w:rPr>
          <w:sz w:val="20"/>
        </w:rPr>
        <w:t>was consensus</w:t>
      </w:r>
      <w:r w:rsidR="00910A9F">
        <w:rPr>
          <w:sz w:val="20"/>
        </w:rPr>
        <w:t xml:space="preserve"> to account for 0.5dB impact [2].</w:t>
      </w:r>
    </w:p>
    <w:p w14:paraId="66576930" w14:textId="2A7EC1CF" w:rsidR="00D8330E" w:rsidRPr="00E43500" w:rsidRDefault="001A6F57" w:rsidP="003310C2">
      <w:pPr>
        <w:pStyle w:val="Heading2"/>
        <w:tabs>
          <w:tab w:val="clear" w:pos="432"/>
          <w:tab w:val="clear" w:pos="840"/>
          <w:tab w:val="left" w:pos="426"/>
        </w:tabs>
        <w:ind w:left="0"/>
        <w:rPr>
          <w:sz w:val="20"/>
        </w:rPr>
      </w:pPr>
      <w:r>
        <w:rPr>
          <w:rStyle w:val="NMPHeading1Char1"/>
          <w:rFonts w:cs="Arial"/>
          <w:b/>
          <w:bCs/>
          <w:sz w:val="24"/>
          <w:szCs w:val="24"/>
        </w:rPr>
        <w:lastRenderedPageBreak/>
        <w:t xml:space="preserve">Addressing concerns on assumptions to calculate </w:t>
      </w:r>
      <w:r w:rsidRPr="001A6F57">
        <w:rPr>
          <w:b/>
          <w:bCs/>
          <w:sz w:val="24"/>
          <w:szCs w:val="24"/>
        </w:rPr>
        <w:t>“</w:t>
      </w:r>
      <w:r w:rsidRPr="001A6F57">
        <w:rPr>
          <w:b/>
          <w:bCs/>
          <w:sz w:val="24"/>
          <w:szCs w:val="24"/>
        </w:rPr>
        <w:sym w:font="Symbol" w:char="F044"/>
      </w:r>
      <w:proofErr w:type="spellStart"/>
      <w:r w:rsidRPr="001A6F57">
        <w:rPr>
          <w:b/>
          <w:bCs/>
          <w:sz w:val="24"/>
          <w:szCs w:val="24"/>
        </w:rPr>
        <w:t>PCx</w:t>
      </w:r>
      <w:proofErr w:type="spellEnd"/>
      <w:r w:rsidRPr="001A6F57">
        <w:rPr>
          <w:b/>
          <w:bCs/>
          <w:sz w:val="24"/>
          <w:szCs w:val="24"/>
        </w:rPr>
        <w:t>”</w:t>
      </w:r>
      <w:r w:rsidRPr="001A6F57">
        <w:rPr>
          <w:rStyle w:val="NMPHeading1Char1"/>
          <w:rFonts w:cs="Arial"/>
          <w:b/>
          <w:bCs/>
          <w:sz w:val="24"/>
          <w:szCs w:val="24"/>
        </w:rPr>
        <w:t xml:space="preserve"> </w:t>
      </w:r>
      <w:r>
        <w:rPr>
          <w:rStyle w:val="NMPHeading1Char1"/>
          <w:rFonts w:cs="Arial"/>
          <w:b/>
          <w:bCs/>
          <w:sz w:val="24"/>
          <w:szCs w:val="24"/>
        </w:rPr>
        <w:t xml:space="preserve">and </w:t>
      </w:r>
      <w:r w:rsidR="003310C2">
        <w:rPr>
          <w:rStyle w:val="NMPHeading1Char1"/>
          <w:rFonts w:cs="Arial"/>
          <w:b/>
          <w:bCs/>
          <w:sz w:val="24"/>
          <w:szCs w:val="24"/>
        </w:rPr>
        <w:t xml:space="preserve">1UL </w:t>
      </w:r>
      <w:r>
        <w:rPr>
          <w:rStyle w:val="NMPHeading1Char1"/>
          <w:rFonts w:cs="Arial"/>
          <w:b/>
          <w:bCs/>
          <w:sz w:val="24"/>
          <w:szCs w:val="24"/>
        </w:rPr>
        <w:t>HPUE LUTs.</w:t>
      </w:r>
    </w:p>
    <w:p w14:paraId="4458260D" w14:textId="23E95E7D" w:rsidR="00441082" w:rsidRDefault="00E43500" w:rsidP="003310C2">
      <w:pPr>
        <w:pStyle w:val="Heading3"/>
        <w:tabs>
          <w:tab w:val="clear" w:pos="432"/>
          <w:tab w:val="clear" w:pos="840"/>
          <w:tab w:val="left" w:pos="142"/>
          <w:tab w:val="left" w:pos="709"/>
        </w:tabs>
        <w:rPr>
          <w:rStyle w:val="NMPHeading1Char1"/>
          <w:rFonts w:cs="Arial"/>
          <w:b/>
          <w:bCs/>
          <w:sz w:val="24"/>
          <w:szCs w:val="14"/>
        </w:rPr>
      </w:pPr>
      <w:r>
        <w:rPr>
          <w:rStyle w:val="NMPHeading1Char1"/>
          <w:rFonts w:cs="Arial"/>
          <w:b/>
          <w:bCs/>
          <w:sz w:val="24"/>
          <w:szCs w:val="14"/>
        </w:rPr>
        <w:t>Justification on 3dB interference increase from 1Tx PC3 to 1Tx PC2</w:t>
      </w:r>
    </w:p>
    <w:p w14:paraId="53430BCA" w14:textId="732F84E6" w:rsidR="00ED7435" w:rsidRPr="00F47918" w:rsidRDefault="00ED7435" w:rsidP="00E43500">
      <w:pPr>
        <w:rPr>
          <w:sz w:val="20"/>
          <w:szCs w:val="18"/>
          <w:u w:val="single"/>
        </w:rPr>
      </w:pPr>
      <w:r w:rsidRPr="00F47918">
        <w:rPr>
          <w:sz w:val="20"/>
          <w:szCs w:val="18"/>
          <w:u w:val="single"/>
        </w:rPr>
        <w:t>For ACLR “1/2 regions”</w:t>
      </w:r>
      <w:r w:rsidR="00601FD9" w:rsidRPr="00F47918">
        <w:rPr>
          <w:sz w:val="20"/>
          <w:szCs w:val="18"/>
          <w:u w:val="single"/>
        </w:rPr>
        <w:t xml:space="preserve"> and for all harmonics:</w:t>
      </w:r>
    </w:p>
    <w:p w14:paraId="422670C1" w14:textId="6D99AA45" w:rsidR="00E43500" w:rsidRDefault="004C557B" w:rsidP="00E43500">
      <w:pPr>
        <w:rPr>
          <w:sz w:val="20"/>
          <w:szCs w:val="18"/>
        </w:rPr>
      </w:pPr>
      <w:r>
        <w:rPr>
          <w:sz w:val="20"/>
          <w:szCs w:val="18"/>
        </w:rPr>
        <w:t xml:space="preserve">Assume that the RAN4 PC2 and PC3 </w:t>
      </w:r>
      <w:r w:rsidR="007C01A9">
        <w:rPr>
          <w:sz w:val="20"/>
          <w:szCs w:val="18"/>
        </w:rPr>
        <w:t xml:space="preserve">PA </w:t>
      </w:r>
      <w:r w:rsidR="00ED7435">
        <w:rPr>
          <w:sz w:val="20"/>
          <w:szCs w:val="18"/>
        </w:rPr>
        <w:t xml:space="preserve">MPR1 </w:t>
      </w:r>
      <w:r>
        <w:rPr>
          <w:sz w:val="20"/>
          <w:szCs w:val="18"/>
        </w:rPr>
        <w:t xml:space="preserve">calibration points were identical, say to meet -30dBc ACLR </w:t>
      </w:r>
      <w:r w:rsidR="00ED7435">
        <w:rPr>
          <w:sz w:val="20"/>
          <w:szCs w:val="18"/>
        </w:rPr>
        <w:t>f</w:t>
      </w:r>
      <w:r>
        <w:rPr>
          <w:sz w:val="20"/>
          <w:szCs w:val="18"/>
        </w:rPr>
        <w:t>or both power classes, then</w:t>
      </w:r>
      <w:r w:rsidR="00ED7435">
        <w:rPr>
          <w:sz w:val="20"/>
          <w:szCs w:val="18"/>
        </w:rPr>
        <w:t xml:space="preserve"> we may assume that </w:t>
      </w:r>
      <w:r>
        <w:rPr>
          <w:sz w:val="20"/>
          <w:szCs w:val="18"/>
        </w:rPr>
        <w:t>the 1Tx PC2 PA emission</w:t>
      </w:r>
      <w:r w:rsidR="00D069E8">
        <w:rPr>
          <w:sz w:val="20"/>
          <w:szCs w:val="18"/>
        </w:rPr>
        <w:t xml:space="preserve"> level</w:t>
      </w:r>
      <w:r>
        <w:rPr>
          <w:sz w:val="20"/>
          <w:szCs w:val="18"/>
        </w:rPr>
        <w:t>s would be 3dB higher than the 1Tx PC3 emission</w:t>
      </w:r>
      <w:r w:rsidR="00D069E8">
        <w:rPr>
          <w:sz w:val="20"/>
          <w:szCs w:val="18"/>
        </w:rPr>
        <w:t>s</w:t>
      </w:r>
      <w:r w:rsidR="00ED7435">
        <w:rPr>
          <w:sz w:val="20"/>
          <w:szCs w:val="18"/>
        </w:rPr>
        <w:t xml:space="preserve"> within both ACLR “regions</w:t>
      </w:r>
      <w:r w:rsidR="00E60D1F">
        <w:rPr>
          <w:sz w:val="20"/>
          <w:szCs w:val="18"/>
        </w:rPr>
        <w:t>.</w:t>
      </w:r>
      <w:r w:rsidR="00ED7435">
        <w:rPr>
          <w:sz w:val="20"/>
          <w:szCs w:val="18"/>
        </w:rPr>
        <w:t>”</w:t>
      </w:r>
    </w:p>
    <w:p w14:paraId="371BFDF2" w14:textId="77777777" w:rsidR="00F47918" w:rsidRDefault="00F47918" w:rsidP="00E43500">
      <w:pPr>
        <w:rPr>
          <w:sz w:val="20"/>
          <w:szCs w:val="18"/>
        </w:rPr>
      </w:pPr>
    </w:p>
    <w:p w14:paraId="3A51C19A" w14:textId="3B25F90D" w:rsidR="00ED7435" w:rsidRDefault="00ED7435" w:rsidP="00E43500">
      <w:pPr>
        <w:rPr>
          <w:sz w:val="20"/>
          <w:szCs w:val="18"/>
        </w:rPr>
      </w:pPr>
      <w:r w:rsidRPr="00F47918">
        <w:rPr>
          <w:sz w:val="20"/>
          <w:szCs w:val="18"/>
          <w:u w:val="single"/>
        </w:rPr>
        <w:t>For</w:t>
      </w:r>
      <w:r w:rsidR="00601FD9" w:rsidRPr="00F47918">
        <w:rPr>
          <w:sz w:val="20"/>
          <w:szCs w:val="18"/>
          <w:u w:val="single"/>
        </w:rPr>
        <w:t xml:space="preserve"> cross-band isolation MSD</w:t>
      </w:r>
      <w:r w:rsidRPr="00F47918">
        <w:rPr>
          <w:sz w:val="20"/>
          <w:szCs w:val="18"/>
          <w:u w:val="single"/>
        </w:rPr>
        <w:t xml:space="preserve"> regions “&gt; ACLR2</w:t>
      </w:r>
      <w:r w:rsidR="00E60D1F">
        <w:rPr>
          <w:sz w:val="20"/>
          <w:szCs w:val="18"/>
          <w:u w:val="single"/>
        </w:rPr>
        <w:t>:</w:t>
      </w:r>
      <w:r w:rsidRPr="00F47918">
        <w:rPr>
          <w:sz w:val="20"/>
          <w:szCs w:val="18"/>
          <w:u w:val="single"/>
        </w:rPr>
        <w:t>”</w:t>
      </w:r>
    </w:p>
    <w:p w14:paraId="786494AC" w14:textId="775B1830" w:rsidR="00ED7435" w:rsidRDefault="00ED7435" w:rsidP="00E43500">
      <w:pPr>
        <w:rPr>
          <w:sz w:val="20"/>
          <w:szCs w:val="18"/>
        </w:rPr>
      </w:pPr>
      <w:r>
        <w:rPr>
          <w:sz w:val="20"/>
          <w:szCs w:val="18"/>
        </w:rPr>
        <w:t>We may assume two cases:</w:t>
      </w:r>
    </w:p>
    <w:p w14:paraId="7BC9F873" w14:textId="7CBBD34F" w:rsidR="00ED7435" w:rsidRDefault="00ED7435" w:rsidP="000D1D7A">
      <w:pPr>
        <w:pStyle w:val="ListParagraph"/>
        <w:numPr>
          <w:ilvl w:val="0"/>
          <w:numId w:val="33"/>
        </w:numPr>
        <w:rPr>
          <w:sz w:val="20"/>
          <w:szCs w:val="18"/>
        </w:rPr>
      </w:pPr>
      <w:r>
        <w:rPr>
          <w:sz w:val="20"/>
          <w:szCs w:val="18"/>
        </w:rPr>
        <w:t>1Tx PC2 is achieved with 3dB higher PA gain and say near identical noise figure than 1Tx PC3.</w:t>
      </w:r>
    </w:p>
    <w:p w14:paraId="33DEFA4D" w14:textId="3AD0356D" w:rsidR="00ED7435" w:rsidRDefault="00ED7435" w:rsidP="000D1D7A">
      <w:pPr>
        <w:pStyle w:val="ListParagraph"/>
        <w:numPr>
          <w:ilvl w:val="0"/>
          <w:numId w:val="33"/>
        </w:numPr>
        <w:rPr>
          <w:sz w:val="20"/>
          <w:szCs w:val="18"/>
        </w:rPr>
      </w:pPr>
      <w:r>
        <w:rPr>
          <w:sz w:val="20"/>
          <w:szCs w:val="18"/>
        </w:rPr>
        <w:t>1Tx PC2 is achieved with</w:t>
      </w:r>
      <w:r w:rsidR="00F47918">
        <w:rPr>
          <w:sz w:val="20"/>
          <w:szCs w:val="18"/>
        </w:rPr>
        <w:t>out 3dB PA gain increase</w:t>
      </w:r>
      <w:r>
        <w:rPr>
          <w:sz w:val="20"/>
          <w:szCs w:val="18"/>
        </w:rPr>
        <w:t xml:space="preserve">. </w:t>
      </w:r>
      <w:r w:rsidR="00F47918">
        <w:rPr>
          <w:sz w:val="20"/>
          <w:szCs w:val="18"/>
        </w:rPr>
        <w:t>In this</w:t>
      </w:r>
      <w:r>
        <w:rPr>
          <w:sz w:val="20"/>
          <w:szCs w:val="18"/>
        </w:rPr>
        <w:t xml:space="preserve"> case the RF transceiver delivers at least 3dB higher input power to the PA</w:t>
      </w:r>
      <w:r w:rsidR="00E60D1F">
        <w:rPr>
          <w:sz w:val="20"/>
          <w:szCs w:val="18"/>
        </w:rPr>
        <w:t>.</w:t>
      </w:r>
      <w:r>
        <w:rPr>
          <w:sz w:val="20"/>
          <w:szCs w:val="18"/>
        </w:rPr>
        <w:t xml:space="preserve"> </w:t>
      </w:r>
    </w:p>
    <w:p w14:paraId="5AD7832C" w14:textId="34D1C9E4" w:rsidR="00ED7435" w:rsidRPr="00ED7435" w:rsidRDefault="00ED7435" w:rsidP="00ED7435">
      <w:pPr>
        <w:rPr>
          <w:sz w:val="20"/>
          <w:szCs w:val="18"/>
        </w:rPr>
      </w:pPr>
      <w:r>
        <w:rPr>
          <w:sz w:val="20"/>
          <w:szCs w:val="18"/>
        </w:rPr>
        <w:t>In both cases, it is reasonable to assume that the “</w:t>
      </w:r>
      <w:proofErr w:type="gramStart"/>
      <w:r>
        <w:rPr>
          <w:sz w:val="20"/>
          <w:szCs w:val="18"/>
        </w:rPr>
        <w:t>flat-band</w:t>
      </w:r>
      <w:proofErr w:type="gramEnd"/>
      <w:r>
        <w:rPr>
          <w:sz w:val="20"/>
          <w:szCs w:val="18"/>
        </w:rPr>
        <w:t xml:space="preserve">” noise of the region </w:t>
      </w:r>
      <w:r w:rsidR="00601FD9">
        <w:rPr>
          <w:sz w:val="20"/>
          <w:szCs w:val="18"/>
        </w:rPr>
        <w:t>“</w:t>
      </w:r>
      <w:r>
        <w:rPr>
          <w:sz w:val="20"/>
          <w:szCs w:val="18"/>
        </w:rPr>
        <w:t>&gt; ACLR2</w:t>
      </w:r>
      <w:r w:rsidR="00601FD9">
        <w:rPr>
          <w:sz w:val="20"/>
          <w:szCs w:val="18"/>
        </w:rPr>
        <w:t>”</w:t>
      </w:r>
      <w:r>
        <w:rPr>
          <w:sz w:val="20"/>
          <w:szCs w:val="18"/>
        </w:rPr>
        <w:t xml:space="preserve"> also increases by 3dB.</w:t>
      </w:r>
    </w:p>
    <w:p w14:paraId="67E3C160" w14:textId="77777777" w:rsidR="00F47918" w:rsidRDefault="00F47918" w:rsidP="00E43500">
      <w:pPr>
        <w:rPr>
          <w:sz w:val="20"/>
          <w:szCs w:val="18"/>
        </w:rPr>
      </w:pPr>
    </w:p>
    <w:p w14:paraId="5D8B8C2D" w14:textId="79AFC9F5" w:rsidR="004C557B" w:rsidRDefault="004C557B" w:rsidP="00E43500">
      <w:pPr>
        <w:rPr>
          <w:sz w:val="20"/>
          <w:szCs w:val="18"/>
        </w:rPr>
      </w:pPr>
      <w:r>
        <w:rPr>
          <w:sz w:val="20"/>
          <w:szCs w:val="18"/>
        </w:rPr>
        <w:t>In practice,</w:t>
      </w:r>
    </w:p>
    <w:p w14:paraId="5F21F754" w14:textId="3C929C24" w:rsidR="00601FD9" w:rsidRDefault="00601FD9" w:rsidP="00E43500">
      <w:pPr>
        <w:rPr>
          <w:sz w:val="20"/>
          <w:szCs w:val="18"/>
        </w:rPr>
      </w:pPr>
      <w:r w:rsidRPr="00AE222E">
        <w:rPr>
          <w:sz w:val="20"/>
          <w:szCs w:val="18"/>
          <w:u w:val="single"/>
        </w:rPr>
        <w:t>For cross-band isolation</w:t>
      </w:r>
      <w:r>
        <w:rPr>
          <w:sz w:val="20"/>
          <w:szCs w:val="18"/>
        </w:rPr>
        <w:t>:</w:t>
      </w:r>
    </w:p>
    <w:p w14:paraId="1D8CFCB0" w14:textId="6A9FB488" w:rsidR="004C557B" w:rsidRDefault="00ED7435" w:rsidP="000D1D7A">
      <w:pPr>
        <w:pStyle w:val="ListParagraph"/>
        <w:numPr>
          <w:ilvl w:val="0"/>
          <w:numId w:val="32"/>
        </w:numPr>
        <w:jc w:val="both"/>
        <w:rPr>
          <w:sz w:val="20"/>
          <w:szCs w:val="18"/>
        </w:rPr>
      </w:pPr>
      <w:r>
        <w:rPr>
          <w:sz w:val="20"/>
          <w:szCs w:val="18"/>
        </w:rPr>
        <w:t xml:space="preserve">On one hand, </w:t>
      </w:r>
      <w:r w:rsidR="004C557B" w:rsidRPr="004C557B">
        <w:rPr>
          <w:sz w:val="20"/>
          <w:szCs w:val="18"/>
        </w:rPr>
        <w:t>RAN4 calibrates</w:t>
      </w:r>
      <w:r w:rsidR="007C01A9">
        <w:rPr>
          <w:sz w:val="20"/>
          <w:szCs w:val="18"/>
        </w:rPr>
        <w:t xml:space="preserve"> the</w:t>
      </w:r>
      <w:r w:rsidR="004C557B" w:rsidRPr="004C557B">
        <w:rPr>
          <w:sz w:val="20"/>
          <w:szCs w:val="18"/>
        </w:rPr>
        <w:t xml:space="preserve"> 1Tx PC2 PA MPR1 linearity </w:t>
      </w:r>
      <w:r>
        <w:rPr>
          <w:sz w:val="20"/>
          <w:szCs w:val="18"/>
        </w:rPr>
        <w:t>with</w:t>
      </w:r>
      <w:r w:rsidR="004C557B" w:rsidRPr="004C557B">
        <w:rPr>
          <w:sz w:val="20"/>
          <w:szCs w:val="18"/>
        </w:rPr>
        <w:t xml:space="preserve"> -31dBc ACLR, i</w:t>
      </w:r>
      <w:r w:rsidR="00E60D1F">
        <w:rPr>
          <w:sz w:val="20"/>
          <w:szCs w:val="18"/>
        </w:rPr>
        <w:t>.</w:t>
      </w:r>
      <w:r w:rsidR="004C557B" w:rsidRPr="004C557B">
        <w:rPr>
          <w:sz w:val="20"/>
          <w:szCs w:val="18"/>
        </w:rPr>
        <w:t>e.</w:t>
      </w:r>
      <w:r w:rsidR="00E60D1F">
        <w:rPr>
          <w:sz w:val="20"/>
          <w:szCs w:val="18"/>
        </w:rPr>
        <w:t>,</w:t>
      </w:r>
      <w:r>
        <w:rPr>
          <w:sz w:val="20"/>
          <w:szCs w:val="18"/>
        </w:rPr>
        <w:t xml:space="preserve"> the PC2 linearity is</w:t>
      </w:r>
      <w:r w:rsidR="004C557B" w:rsidRPr="004C557B">
        <w:rPr>
          <w:sz w:val="20"/>
          <w:szCs w:val="18"/>
        </w:rPr>
        <w:t xml:space="preserve"> slightly better than the 1Tx PC3 MPR1 calibration point</w:t>
      </w:r>
      <w:r w:rsidR="00D069E8">
        <w:rPr>
          <w:sz w:val="20"/>
          <w:szCs w:val="18"/>
        </w:rPr>
        <w:t xml:space="preserve"> of -30dBc</w:t>
      </w:r>
      <w:r w:rsidR="004C557B" w:rsidRPr="004C557B">
        <w:rPr>
          <w:sz w:val="20"/>
          <w:szCs w:val="18"/>
        </w:rPr>
        <w:t>. Hence, the</w:t>
      </w:r>
      <w:r w:rsidR="007C01A9">
        <w:rPr>
          <w:sz w:val="20"/>
          <w:szCs w:val="18"/>
        </w:rPr>
        <w:t xml:space="preserve"> difference between</w:t>
      </w:r>
      <w:r w:rsidR="004C557B" w:rsidRPr="004C557B">
        <w:rPr>
          <w:sz w:val="20"/>
          <w:szCs w:val="18"/>
        </w:rPr>
        <w:t xml:space="preserve"> </w:t>
      </w:r>
      <w:r w:rsidR="007C01A9">
        <w:rPr>
          <w:sz w:val="20"/>
          <w:szCs w:val="18"/>
        </w:rPr>
        <w:t xml:space="preserve">1Tx PC3 and 1Tx </w:t>
      </w:r>
      <w:r w:rsidR="004C557B" w:rsidRPr="004C557B">
        <w:rPr>
          <w:sz w:val="20"/>
          <w:szCs w:val="18"/>
        </w:rPr>
        <w:t>PC2 PA emissions may be slightly less than 3dB.</w:t>
      </w:r>
    </w:p>
    <w:p w14:paraId="08E77E81" w14:textId="609E57EF" w:rsidR="00ED7435" w:rsidRDefault="00ED7435" w:rsidP="000D1D7A">
      <w:pPr>
        <w:pStyle w:val="ListParagraph"/>
        <w:numPr>
          <w:ilvl w:val="0"/>
          <w:numId w:val="32"/>
        </w:numPr>
        <w:jc w:val="both"/>
        <w:rPr>
          <w:sz w:val="20"/>
          <w:szCs w:val="18"/>
        </w:rPr>
      </w:pPr>
      <w:r>
        <w:rPr>
          <w:sz w:val="20"/>
          <w:szCs w:val="18"/>
        </w:rPr>
        <w:t>On the other hand, RAN4 MSD analyses are usually evaluated without MPR, i.e. at MPR0. This means the PA is driven 1dB further into compression. This may lead to cases where the interference level difference may slightly exceed 3dB, and cases where it may slightly be lower than 3dB depending on how the compression affects the combining of multiple IMD products within each ACLR “1/2 region</w:t>
      </w:r>
      <w:r w:rsidR="00E60D1F">
        <w:rPr>
          <w:sz w:val="20"/>
          <w:szCs w:val="18"/>
        </w:rPr>
        <w:t>.</w:t>
      </w:r>
      <w:r>
        <w:rPr>
          <w:sz w:val="20"/>
          <w:szCs w:val="18"/>
        </w:rPr>
        <w:t>”</w:t>
      </w:r>
    </w:p>
    <w:p w14:paraId="17DE63F7" w14:textId="77777777" w:rsidR="00F47918" w:rsidRDefault="00F47918" w:rsidP="00F47918">
      <w:pPr>
        <w:pStyle w:val="ListParagraph"/>
        <w:ind w:left="360"/>
        <w:rPr>
          <w:sz w:val="20"/>
          <w:szCs w:val="18"/>
        </w:rPr>
      </w:pPr>
    </w:p>
    <w:p w14:paraId="31FB00FF" w14:textId="7D026E04" w:rsidR="00601FD9" w:rsidRPr="00601FD9" w:rsidRDefault="00601FD9" w:rsidP="00601FD9">
      <w:pPr>
        <w:rPr>
          <w:sz w:val="20"/>
          <w:szCs w:val="18"/>
        </w:rPr>
      </w:pPr>
      <w:r w:rsidRPr="00AE222E">
        <w:rPr>
          <w:sz w:val="20"/>
          <w:szCs w:val="18"/>
          <w:u w:val="single"/>
        </w:rPr>
        <w:t>For harmonic MSD and harmonic mixing MSD</w:t>
      </w:r>
      <w:r>
        <w:rPr>
          <w:sz w:val="20"/>
          <w:szCs w:val="18"/>
        </w:rPr>
        <w:t>:</w:t>
      </w:r>
    </w:p>
    <w:p w14:paraId="0AAF5ABA" w14:textId="6D740D43" w:rsidR="004C557B" w:rsidRDefault="004C557B" w:rsidP="00F47918">
      <w:pPr>
        <w:jc w:val="both"/>
        <w:rPr>
          <w:sz w:val="20"/>
          <w:szCs w:val="18"/>
        </w:rPr>
      </w:pPr>
      <w:r w:rsidRPr="00AE222E">
        <w:rPr>
          <w:sz w:val="20"/>
          <w:szCs w:val="18"/>
        </w:rPr>
        <w:t>Our</w:t>
      </w:r>
      <w:r w:rsidR="00601FD9" w:rsidRPr="00AE222E">
        <w:rPr>
          <w:sz w:val="20"/>
          <w:szCs w:val="18"/>
        </w:rPr>
        <w:t xml:space="preserve"> 1Tx PC2</w:t>
      </w:r>
      <w:r w:rsidRPr="00AE222E">
        <w:rPr>
          <w:sz w:val="20"/>
          <w:szCs w:val="18"/>
        </w:rPr>
        <w:t xml:space="preserve"> measurements of PA harmonics</w:t>
      </w:r>
      <w:r w:rsidR="00601FD9" w:rsidRPr="00AE222E">
        <w:rPr>
          <w:sz w:val="20"/>
          <w:szCs w:val="18"/>
        </w:rPr>
        <w:t xml:space="preserve"> at MPR0</w:t>
      </w:r>
      <w:r w:rsidRPr="00AE222E">
        <w:rPr>
          <w:sz w:val="20"/>
          <w:szCs w:val="18"/>
        </w:rPr>
        <w:t xml:space="preserve"> in [4] have shown that the</w:t>
      </w:r>
      <w:r w:rsidR="009D768D" w:rsidRPr="00AE222E">
        <w:rPr>
          <w:sz w:val="20"/>
          <w:szCs w:val="18"/>
        </w:rPr>
        <w:t xml:space="preserve"> </w:t>
      </w:r>
      <w:r w:rsidR="00601FD9" w:rsidRPr="00AE222E">
        <w:rPr>
          <w:sz w:val="20"/>
          <w:szCs w:val="18"/>
        </w:rPr>
        <w:t xml:space="preserve">PC2 </w:t>
      </w:r>
      <w:r w:rsidRPr="00AE222E">
        <w:rPr>
          <w:sz w:val="20"/>
          <w:szCs w:val="18"/>
        </w:rPr>
        <w:t xml:space="preserve">harmonics levels </w:t>
      </w:r>
      <w:r w:rsidR="00F47918">
        <w:rPr>
          <w:sz w:val="20"/>
          <w:szCs w:val="18"/>
        </w:rPr>
        <w:t xml:space="preserve">are approximately </w:t>
      </w:r>
      <w:r w:rsidRPr="00AE222E">
        <w:rPr>
          <w:sz w:val="20"/>
          <w:szCs w:val="18"/>
        </w:rPr>
        <w:t xml:space="preserve">3dB higher than the PC3 levels. </w:t>
      </w:r>
      <w:r w:rsidR="00F47918" w:rsidRPr="00AE222E">
        <w:rPr>
          <w:sz w:val="20"/>
          <w:szCs w:val="18"/>
        </w:rPr>
        <w:t>Like</w:t>
      </w:r>
      <w:r w:rsidR="00601FD9" w:rsidRPr="00AE222E">
        <w:rPr>
          <w:sz w:val="20"/>
          <w:szCs w:val="18"/>
        </w:rPr>
        <w:t xml:space="preserve"> cross-band cases, t</w:t>
      </w:r>
      <w:r w:rsidRPr="00AE222E">
        <w:rPr>
          <w:sz w:val="20"/>
          <w:szCs w:val="18"/>
        </w:rPr>
        <w:t>his is only an approximation since the actual measured levels are sometimes slightly greater than 3dB, sometimes slightly lower than 3dB</w:t>
      </w:r>
      <w:r w:rsidR="009D768D" w:rsidRPr="00AE222E">
        <w:rPr>
          <w:sz w:val="20"/>
          <w:szCs w:val="18"/>
        </w:rPr>
        <w:t xml:space="preserve"> as shown in </w:t>
      </w:r>
      <w:r w:rsidR="009D768D" w:rsidRPr="00AE222E">
        <w:rPr>
          <w:sz w:val="20"/>
          <w:szCs w:val="18"/>
        </w:rPr>
        <w:fldChar w:fldCharType="begin"/>
      </w:r>
      <w:r w:rsidR="009D768D" w:rsidRPr="00AE222E">
        <w:rPr>
          <w:sz w:val="20"/>
          <w:szCs w:val="18"/>
        </w:rPr>
        <w:instrText xml:space="preserve"> REF _Ref193749338 \h </w:instrText>
      </w:r>
      <w:r w:rsidR="00F47918">
        <w:instrText xml:space="preserve"> \* MERGEFORMAT </w:instrText>
      </w:r>
      <w:r w:rsidR="009D768D" w:rsidRPr="00AE222E">
        <w:rPr>
          <w:sz w:val="20"/>
          <w:szCs w:val="18"/>
        </w:rPr>
      </w:r>
      <w:r w:rsidR="009D768D" w:rsidRPr="00AE222E">
        <w:rPr>
          <w:sz w:val="20"/>
          <w:szCs w:val="18"/>
        </w:rPr>
        <w:fldChar w:fldCharType="separate"/>
      </w:r>
      <w:r w:rsidR="009D768D" w:rsidRPr="00AE222E">
        <w:rPr>
          <w:sz w:val="20"/>
          <w:szCs w:val="18"/>
        </w:rPr>
        <w:t xml:space="preserve">Figure </w:t>
      </w:r>
      <w:r w:rsidR="009D768D" w:rsidRPr="00AE222E">
        <w:rPr>
          <w:noProof/>
          <w:sz w:val="20"/>
          <w:szCs w:val="18"/>
        </w:rPr>
        <w:t>2</w:t>
      </w:r>
      <w:r w:rsidR="009D768D" w:rsidRPr="00AE222E">
        <w:rPr>
          <w:sz w:val="20"/>
          <w:szCs w:val="18"/>
        </w:rPr>
        <w:fldChar w:fldCharType="end"/>
      </w:r>
      <w:r w:rsidR="009D768D" w:rsidRPr="00AE222E">
        <w:rPr>
          <w:sz w:val="20"/>
          <w:szCs w:val="18"/>
        </w:rPr>
        <w:t xml:space="preserve"> [4]</w:t>
      </w:r>
      <w:r w:rsidRPr="00AE222E">
        <w:rPr>
          <w:sz w:val="20"/>
          <w:szCs w:val="18"/>
        </w:rPr>
        <w:t>. The 3dB harmonic level increase is an assumption that can be used for both harmonic MSD, and for harmonic mixing MSD since the source of interference in both cases is the</w:t>
      </w:r>
      <w:r w:rsidR="009D768D" w:rsidRPr="00AE222E">
        <w:rPr>
          <w:sz w:val="20"/>
          <w:szCs w:val="18"/>
        </w:rPr>
        <w:t xml:space="preserve"> same</w:t>
      </w:r>
      <w:r w:rsidRPr="00AE222E">
        <w:rPr>
          <w:sz w:val="20"/>
          <w:szCs w:val="18"/>
        </w:rPr>
        <w:t xml:space="preserve"> PA harmonic interference.</w:t>
      </w:r>
      <w:r w:rsidR="00601FD9" w:rsidRPr="00AE222E">
        <w:rPr>
          <w:sz w:val="20"/>
          <w:szCs w:val="18"/>
        </w:rPr>
        <w:t xml:space="preserve"> For Rx harmonic mixing, we assume that all other Rx parameters remain identical when the PA power class is changed from PC3 to PC2 or PC2+PC2, for example </w:t>
      </w:r>
      <w:r w:rsidR="00F47918">
        <w:rPr>
          <w:sz w:val="20"/>
          <w:szCs w:val="18"/>
        </w:rPr>
        <w:t xml:space="preserve">the </w:t>
      </w:r>
      <w:r w:rsidR="00601FD9" w:rsidRPr="00AE222E">
        <w:rPr>
          <w:sz w:val="20"/>
          <w:szCs w:val="18"/>
        </w:rPr>
        <w:t>Rx mixer harmonic gain</w:t>
      </w:r>
      <w:r w:rsidR="00F47918">
        <w:rPr>
          <w:sz w:val="20"/>
          <w:szCs w:val="18"/>
        </w:rPr>
        <w:t xml:space="preserve"> does not change with PC.</w:t>
      </w:r>
    </w:p>
    <w:p w14:paraId="2ABFAAC4" w14:textId="77777777" w:rsidR="00F47918" w:rsidRPr="00AE222E" w:rsidRDefault="00F47918" w:rsidP="00F47918">
      <w:pPr>
        <w:jc w:val="both"/>
        <w:rPr>
          <w:sz w:val="20"/>
          <w:szCs w:val="18"/>
        </w:rPr>
      </w:pPr>
    </w:p>
    <w:p w14:paraId="7C4832C3" w14:textId="77777777" w:rsidR="00AE222E" w:rsidRPr="00AE222E" w:rsidRDefault="00AE222E" w:rsidP="003310C2">
      <w:pPr>
        <w:pStyle w:val="ListParagraph"/>
        <w:ind w:left="360"/>
        <w:jc w:val="center"/>
        <w:rPr>
          <w:sz w:val="20"/>
          <w:szCs w:val="18"/>
        </w:rPr>
      </w:pPr>
      <w:r>
        <w:rPr>
          <w:noProof/>
        </w:rPr>
        <w:drawing>
          <wp:inline distT="0" distB="0" distL="0" distR="0" wp14:anchorId="6D0CF365" wp14:editId="25AF437E">
            <wp:extent cx="3829868" cy="2210210"/>
            <wp:effectExtent l="0" t="0" r="0" b="0"/>
            <wp:docPr id="12" name="Picture 11" descr="A graph of blue lines&#10;&#10;Description automatically generated with medium confidence">
              <a:extLst xmlns:a="http://schemas.openxmlformats.org/drawingml/2006/main">
                <a:ext uri="{FF2B5EF4-FFF2-40B4-BE49-F238E27FC236}">
                  <a16:creationId xmlns:a16="http://schemas.microsoft.com/office/drawing/2014/main" id="{C04FEB24-BD0C-5288-8C52-DD17B5430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of blue lines&#10;&#10;Description automatically generated with medium confidence">
                      <a:extLst>
                        <a:ext uri="{FF2B5EF4-FFF2-40B4-BE49-F238E27FC236}">
                          <a16:creationId xmlns:a16="http://schemas.microsoft.com/office/drawing/2014/main" id="{C04FEB24-BD0C-5288-8C52-DD17B5430D97}"/>
                        </a:ext>
                      </a:extLst>
                    </pic:cNvPr>
                    <pic:cNvPicPr>
                      <a:picLocks noChangeAspect="1"/>
                    </pic:cNvPicPr>
                  </pic:nvPicPr>
                  <pic:blipFill rotWithShape="1">
                    <a:blip r:embed="rId11"/>
                    <a:srcRect l="664" t="2033" r="1045" b="1487"/>
                    <a:stretch/>
                  </pic:blipFill>
                  <pic:spPr bwMode="auto">
                    <a:xfrm>
                      <a:off x="0" y="0"/>
                      <a:ext cx="3847109" cy="2220160"/>
                    </a:xfrm>
                    <a:prstGeom prst="rect">
                      <a:avLst/>
                    </a:prstGeom>
                    <a:ln>
                      <a:noFill/>
                    </a:ln>
                    <a:extLst>
                      <a:ext uri="{53640926-AAD7-44D8-BBD7-CCE9431645EC}">
                        <a14:shadowObscured xmlns:a14="http://schemas.microsoft.com/office/drawing/2010/main"/>
                      </a:ext>
                    </a:extLst>
                  </pic:spPr>
                </pic:pic>
              </a:graphicData>
            </a:graphic>
          </wp:inline>
        </w:drawing>
      </w:r>
    </w:p>
    <w:p w14:paraId="3A4AC03E" w14:textId="29473038" w:rsidR="00AE222E" w:rsidRPr="00AE222E" w:rsidRDefault="00AE222E" w:rsidP="00AE222E">
      <w:pPr>
        <w:pStyle w:val="ListParagraph"/>
        <w:ind w:left="360"/>
        <w:rPr>
          <w:sz w:val="20"/>
          <w:szCs w:val="18"/>
        </w:rPr>
      </w:pPr>
      <w:bookmarkStart w:id="5" w:name="_Ref193749338"/>
      <w:r w:rsidRPr="00A011CF">
        <w:rPr>
          <w:b/>
          <w:bCs/>
          <w:sz w:val="20"/>
          <w:szCs w:val="18"/>
        </w:rPr>
        <w:t xml:space="preserve">Figure </w:t>
      </w:r>
      <w:r w:rsidRPr="00A011CF">
        <w:rPr>
          <w:b/>
          <w:bCs/>
          <w:sz w:val="20"/>
          <w:szCs w:val="18"/>
        </w:rPr>
        <w:fldChar w:fldCharType="begin"/>
      </w:r>
      <w:r w:rsidRPr="00A011CF">
        <w:rPr>
          <w:b/>
          <w:bCs/>
          <w:sz w:val="20"/>
          <w:szCs w:val="18"/>
        </w:rPr>
        <w:instrText xml:space="preserve"> SEQ Figure \* ARABIC </w:instrText>
      </w:r>
      <w:r w:rsidRPr="00A011CF">
        <w:rPr>
          <w:b/>
          <w:bCs/>
          <w:sz w:val="20"/>
          <w:szCs w:val="18"/>
        </w:rPr>
        <w:fldChar w:fldCharType="separate"/>
      </w:r>
      <w:r w:rsidRPr="00A011CF">
        <w:rPr>
          <w:b/>
          <w:bCs/>
          <w:noProof/>
          <w:sz w:val="20"/>
          <w:szCs w:val="18"/>
        </w:rPr>
        <w:t>2</w:t>
      </w:r>
      <w:r w:rsidRPr="00A011CF">
        <w:rPr>
          <w:b/>
          <w:bCs/>
          <w:sz w:val="20"/>
          <w:szCs w:val="18"/>
        </w:rPr>
        <w:fldChar w:fldCharType="end"/>
      </w:r>
      <w:bookmarkEnd w:id="5"/>
      <w:r w:rsidRPr="00AE222E">
        <w:rPr>
          <w:bCs/>
          <w:sz w:val="20"/>
          <w:szCs w:val="18"/>
        </w:rPr>
        <w:t xml:space="preserve">:  Measured fundamental (H1), H2, H3, H4, H5 harmonic interference power difference between MPR0 </w:t>
      </w:r>
      <w:r w:rsidR="003310C2">
        <w:rPr>
          <w:bCs/>
          <w:sz w:val="20"/>
          <w:szCs w:val="18"/>
        </w:rPr>
        <w:t xml:space="preserve">1Tx </w:t>
      </w:r>
      <w:r w:rsidRPr="00AE222E">
        <w:rPr>
          <w:bCs/>
          <w:sz w:val="20"/>
          <w:szCs w:val="18"/>
        </w:rPr>
        <w:t xml:space="preserve">PC3 and MPR0 </w:t>
      </w:r>
      <w:r w:rsidR="003310C2">
        <w:rPr>
          <w:bCs/>
          <w:sz w:val="20"/>
          <w:szCs w:val="18"/>
        </w:rPr>
        <w:t xml:space="preserve">1Tx </w:t>
      </w:r>
      <w:r w:rsidRPr="00AE222E">
        <w:rPr>
          <w:bCs/>
          <w:sz w:val="20"/>
          <w:szCs w:val="18"/>
        </w:rPr>
        <w:t>PC2</w:t>
      </w:r>
    </w:p>
    <w:p w14:paraId="24BFC7D5" w14:textId="77777777" w:rsidR="00F47918" w:rsidRDefault="00F47918" w:rsidP="00601FD9">
      <w:pPr>
        <w:rPr>
          <w:sz w:val="20"/>
          <w:szCs w:val="18"/>
        </w:rPr>
      </w:pPr>
    </w:p>
    <w:p w14:paraId="26989D53" w14:textId="35A054A6" w:rsidR="00601FD9" w:rsidRDefault="00601FD9" w:rsidP="00F47918">
      <w:pPr>
        <w:jc w:val="both"/>
        <w:rPr>
          <w:sz w:val="20"/>
          <w:szCs w:val="18"/>
        </w:rPr>
      </w:pPr>
      <w:r>
        <w:rPr>
          <w:sz w:val="20"/>
          <w:szCs w:val="18"/>
        </w:rPr>
        <w:t xml:space="preserve">Finally, we would like to </w:t>
      </w:r>
      <w:r w:rsidR="00E60D1F">
        <w:rPr>
          <w:sz w:val="20"/>
          <w:szCs w:val="18"/>
        </w:rPr>
        <w:t>recap</w:t>
      </w:r>
      <w:r>
        <w:rPr>
          <w:sz w:val="20"/>
          <w:szCs w:val="18"/>
        </w:rPr>
        <w:t xml:space="preserve"> that these practical </w:t>
      </w:r>
      <w:r w:rsidR="00F47918">
        <w:rPr>
          <w:sz w:val="20"/>
          <w:szCs w:val="18"/>
        </w:rPr>
        <w:t>considerations are valid for MSD evaluations based on measurements</w:t>
      </w:r>
      <w:r>
        <w:rPr>
          <w:sz w:val="20"/>
          <w:szCs w:val="18"/>
        </w:rPr>
        <w:t xml:space="preserve">. Most MSD analyses are based on “excel calculations” where </w:t>
      </w:r>
      <w:r w:rsidR="00F47918">
        <w:rPr>
          <w:sz w:val="20"/>
          <w:szCs w:val="18"/>
        </w:rPr>
        <w:t xml:space="preserve">the increase of the </w:t>
      </w:r>
      <w:r>
        <w:rPr>
          <w:sz w:val="20"/>
          <w:szCs w:val="18"/>
        </w:rPr>
        <w:t xml:space="preserve">PA interference </w:t>
      </w:r>
      <w:r w:rsidR="00F47918">
        <w:rPr>
          <w:sz w:val="20"/>
          <w:szCs w:val="18"/>
        </w:rPr>
        <w:t>levels</w:t>
      </w:r>
      <w:r>
        <w:rPr>
          <w:sz w:val="20"/>
          <w:szCs w:val="18"/>
        </w:rPr>
        <w:t xml:space="preserve"> is</w:t>
      </w:r>
      <w:r w:rsidR="00F47918">
        <w:rPr>
          <w:sz w:val="20"/>
          <w:szCs w:val="18"/>
        </w:rPr>
        <w:t xml:space="preserve"> either</w:t>
      </w:r>
      <w:r>
        <w:rPr>
          <w:sz w:val="20"/>
          <w:szCs w:val="18"/>
        </w:rPr>
        <w:t xml:space="preserve"> modelled, or sometimes </w:t>
      </w:r>
      <w:r w:rsidR="00F47918">
        <w:rPr>
          <w:sz w:val="20"/>
          <w:szCs w:val="18"/>
        </w:rPr>
        <w:t xml:space="preserve">simulated given a certain PA model. This variety of approaches result in different assumptions used for legacy HPUE MSD analyses. We have also observed MSD Text Proposals (TP) where the </w:t>
      </w:r>
      <w:r>
        <w:rPr>
          <w:sz w:val="20"/>
          <w:szCs w:val="18"/>
        </w:rPr>
        <w:t>3dB increase was not applied to the interference level but to the PC3 MSD</w:t>
      </w:r>
      <w:r w:rsidR="00F47918">
        <w:rPr>
          <w:sz w:val="20"/>
          <w:szCs w:val="18"/>
        </w:rPr>
        <w:t>. This may have also contributed to discrepancies between band combinations.</w:t>
      </w:r>
    </w:p>
    <w:p w14:paraId="08D2E8FE" w14:textId="77777777" w:rsidR="00F47918" w:rsidRPr="00601FD9" w:rsidRDefault="00F47918" w:rsidP="00F47918">
      <w:pPr>
        <w:jc w:val="both"/>
        <w:rPr>
          <w:sz w:val="20"/>
          <w:szCs w:val="18"/>
        </w:rPr>
      </w:pPr>
    </w:p>
    <w:p w14:paraId="0A9E22D7" w14:textId="69327AF2" w:rsidR="007C01A9" w:rsidRDefault="007C01A9" w:rsidP="00F47918">
      <w:pPr>
        <w:jc w:val="both"/>
        <w:rPr>
          <w:sz w:val="20"/>
          <w:szCs w:val="18"/>
        </w:rPr>
      </w:pPr>
      <w:r>
        <w:rPr>
          <w:sz w:val="20"/>
          <w:szCs w:val="18"/>
        </w:rPr>
        <w:t>In summary, 3dB interference increase from 1Tx PC3 to 1Tx PC2 may be considered as a reasonably and sufficiently accurate approximation to serve the goal of building MSD simplification look-up tables.</w:t>
      </w:r>
    </w:p>
    <w:p w14:paraId="62198FAD" w14:textId="77777777" w:rsidR="00603B6C" w:rsidRDefault="00603B6C" w:rsidP="007C01A9">
      <w:pPr>
        <w:rPr>
          <w:sz w:val="20"/>
          <w:szCs w:val="18"/>
        </w:rPr>
      </w:pPr>
    </w:p>
    <w:p w14:paraId="2B281816" w14:textId="1830768E" w:rsidR="007C01A9" w:rsidRDefault="007C01A9" w:rsidP="00603B6C">
      <w:pPr>
        <w:shd w:val="clear" w:color="auto" w:fill="DAEEF3" w:themeFill="accent5" w:themeFillTint="33"/>
        <w:rPr>
          <w:sz w:val="20"/>
          <w:szCs w:val="18"/>
        </w:rPr>
      </w:pPr>
      <w:r w:rsidRPr="002241E2">
        <w:rPr>
          <w:b/>
          <w:bCs/>
          <w:sz w:val="20"/>
          <w:szCs w:val="18"/>
        </w:rPr>
        <w:lastRenderedPageBreak/>
        <w:t>Observation 1</w:t>
      </w:r>
      <w:r>
        <w:rPr>
          <w:sz w:val="20"/>
          <w:szCs w:val="18"/>
        </w:rPr>
        <w:t xml:space="preserve">: </w:t>
      </w:r>
      <w:r w:rsidR="0088047F">
        <w:rPr>
          <w:sz w:val="20"/>
          <w:szCs w:val="18"/>
        </w:rPr>
        <w:t xml:space="preserve">1UL </w:t>
      </w:r>
      <w:r w:rsidR="00603B6C">
        <w:rPr>
          <w:sz w:val="20"/>
          <w:szCs w:val="18"/>
        </w:rPr>
        <w:t>HPUE MSD</w:t>
      </w:r>
      <w:r w:rsidR="0088047F">
        <w:rPr>
          <w:sz w:val="20"/>
          <w:szCs w:val="18"/>
        </w:rPr>
        <w:t xml:space="preserve"> simplification</w:t>
      </w:r>
      <w:r w:rsidR="00603B6C">
        <w:rPr>
          <w:sz w:val="20"/>
          <w:szCs w:val="18"/>
        </w:rPr>
        <w:t xml:space="preserve"> may be</w:t>
      </w:r>
      <w:r w:rsidR="0088047F">
        <w:rPr>
          <w:sz w:val="20"/>
          <w:szCs w:val="18"/>
        </w:rPr>
        <w:t xml:space="preserve"> implemented</w:t>
      </w:r>
      <w:r w:rsidR="00603B6C">
        <w:rPr>
          <w:sz w:val="20"/>
          <w:szCs w:val="18"/>
        </w:rPr>
        <w:t xml:space="preserve"> by assuming that</w:t>
      </w:r>
      <w:r>
        <w:rPr>
          <w:sz w:val="20"/>
          <w:szCs w:val="18"/>
        </w:rPr>
        <w:t xml:space="preserve"> </w:t>
      </w:r>
      <w:r w:rsidR="00603B6C">
        <w:rPr>
          <w:sz w:val="20"/>
          <w:szCs w:val="18"/>
        </w:rPr>
        <w:t xml:space="preserve">the </w:t>
      </w:r>
      <w:r>
        <w:rPr>
          <w:sz w:val="20"/>
          <w:szCs w:val="18"/>
        </w:rPr>
        <w:t xml:space="preserve">1Tx PC2 harmonic and </w:t>
      </w:r>
      <w:r w:rsidR="00603B6C">
        <w:rPr>
          <w:sz w:val="20"/>
          <w:szCs w:val="18"/>
        </w:rPr>
        <w:t xml:space="preserve">the </w:t>
      </w:r>
      <w:r w:rsidR="00AE222E">
        <w:rPr>
          <w:sz w:val="20"/>
          <w:szCs w:val="18"/>
        </w:rPr>
        <w:t xml:space="preserve">1Tx PC2 </w:t>
      </w:r>
      <w:r>
        <w:rPr>
          <w:sz w:val="20"/>
          <w:szCs w:val="18"/>
        </w:rPr>
        <w:t xml:space="preserve">ACLR interference </w:t>
      </w:r>
      <w:r w:rsidR="00AE222E">
        <w:rPr>
          <w:sz w:val="20"/>
          <w:szCs w:val="18"/>
        </w:rPr>
        <w:t xml:space="preserve">is 3dB greater than the </w:t>
      </w:r>
      <w:r>
        <w:rPr>
          <w:sz w:val="20"/>
          <w:szCs w:val="18"/>
        </w:rPr>
        <w:t>1Tx PC3 levels.</w:t>
      </w:r>
    </w:p>
    <w:p w14:paraId="1DEE94F5" w14:textId="1589F574" w:rsidR="00B52DD8" w:rsidRDefault="00B52DD8" w:rsidP="00B52DD8">
      <w:pPr>
        <w:pStyle w:val="Heading3"/>
        <w:rPr>
          <w:rStyle w:val="NMPHeading1Char1"/>
          <w:rFonts w:cs="Arial"/>
          <w:b/>
          <w:bCs/>
          <w:sz w:val="24"/>
          <w:szCs w:val="14"/>
        </w:rPr>
      </w:pPr>
      <w:r>
        <w:rPr>
          <w:rStyle w:val="NMPHeading1Char1"/>
          <w:rFonts w:cs="Arial"/>
          <w:b/>
          <w:bCs/>
          <w:sz w:val="24"/>
          <w:szCs w:val="14"/>
        </w:rPr>
        <w:t xml:space="preserve">Justification on </w:t>
      </w:r>
      <w:r w:rsidR="00B65875">
        <w:rPr>
          <w:rStyle w:val="NMPHeading1Char1"/>
          <w:rFonts w:cs="Arial"/>
          <w:b/>
          <w:bCs/>
          <w:sz w:val="24"/>
          <w:szCs w:val="14"/>
        </w:rPr>
        <w:t>6</w:t>
      </w:r>
      <w:r>
        <w:rPr>
          <w:rStyle w:val="NMPHeading1Char1"/>
          <w:rFonts w:cs="Arial"/>
          <w:b/>
          <w:bCs/>
          <w:sz w:val="24"/>
          <w:szCs w:val="14"/>
        </w:rPr>
        <w:t>dB interference increase due to 2Tx reverse-IMD</w:t>
      </w:r>
    </w:p>
    <w:p w14:paraId="54B74918" w14:textId="34760332" w:rsidR="00491EA5" w:rsidRDefault="00491EA5" w:rsidP="00522074">
      <w:pPr>
        <w:jc w:val="both"/>
        <w:rPr>
          <w:sz w:val="20"/>
          <w:szCs w:val="18"/>
        </w:rPr>
      </w:pPr>
      <w:r>
        <w:rPr>
          <w:sz w:val="20"/>
          <w:szCs w:val="18"/>
        </w:rPr>
        <w:t>In WF [2], [</w:t>
      </w:r>
      <w:proofErr w:type="gramStart"/>
      <w:r>
        <w:rPr>
          <w:sz w:val="20"/>
          <w:szCs w:val="18"/>
        </w:rPr>
        <w:t>9]dB</w:t>
      </w:r>
      <w:proofErr w:type="gramEnd"/>
      <w:r>
        <w:rPr>
          <w:sz w:val="20"/>
          <w:szCs w:val="18"/>
        </w:rPr>
        <w:t xml:space="preserve"> Main/Diversity imbalance was recommended as a way to ensure the </w:t>
      </w:r>
      <w:r w:rsidR="006A07E9">
        <w:rPr>
          <w:sz w:val="20"/>
          <w:szCs w:val="18"/>
        </w:rPr>
        <w:sym w:font="Symbol" w:char="F044"/>
      </w:r>
      <w:r w:rsidR="006A07E9">
        <w:rPr>
          <w:sz w:val="20"/>
          <w:szCs w:val="18"/>
        </w:rPr>
        <w:t>PC1.5 maximum value (plateau) “</w:t>
      </w:r>
      <w:r w:rsidR="006A07E9">
        <w:rPr>
          <w:sz w:val="20"/>
          <w:szCs w:val="18"/>
        </w:rPr>
        <w:sym w:font="Symbol" w:char="F044"/>
      </w:r>
      <w:r w:rsidR="006A07E9">
        <w:rPr>
          <w:sz w:val="20"/>
          <w:szCs w:val="18"/>
        </w:rPr>
        <w:t>PC1.5</w:t>
      </w:r>
      <w:r w:rsidR="006A07E9" w:rsidRPr="006A07E9">
        <w:rPr>
          <w:sz w:val="20"/>
          <w:szCs w:val="18"/>
          <w:vertAlign w:val="subscript"/>
        </w:rPr>
        <w:t>max</w:t>
      </w:r>
      <w:r w:rsidR="006A07E9">
        <w:rPr>
          <w:sz w:val="20"/>
          <w:szCs w:val="18"/>
        </w:rPr>
        <w:t>” is greater than “</w:t>
      </w:r>
      <w:r w:rsidR="006A07E9">
        <w:rPr>
          <w:sz w:val="20"/>
          <w:szCs w:val="18"/>
        </w:rPr>
        <w:sym w:font="Symbol" w:char="F044"/>
      </w:r>
      <w:r w:rsidR="006A07E9">
        <w:rPr>
          <w:sz w:val="20"/>
          <w:szCs w:val="18"/>
        </w:rPr>
        <w:t>PC2</w:t>
      </w:r>
      <w:r w:rsidR="006A07E9">
        <w:rPr>
          <w:sz w:val="20"/>
          <w:szCs w:val="18"/>
          <w:vertAlign w:val="subscript"/>
        </w:rPr>
        <w:t>2Tx</w:t>
      </w:r>
      <w:r w:rsidR="006A07E9">
        <w:rPr>
          <w:sz w:val="20"/>
          <w:szCs w:val="18"/>
        </w:rPr>
        <w:t>”. In [1] we proposed instead to adopt [6dB] imbalance to serve two purposes:</w:t>
      </w:r>
    </w:p>
    <w:p w14:paraId="05AADC2B" w14:textId="6237712F" w:rsidR="006A07E9" w:rsidRDefault="006A07E9" w:rsidP="000D1D7A">
      <w:pPr>
        <w:pStyle w:val="ListParagraph"/>
        <w:numPr>
          <w:ilvl w:val="0"/>
          <w:numId w:val="34"/>
        </w:numPr>
        <w:jc w:val="both"/>
        <w:rPr>
          <w:sz w:val="20"/>
          <w:szCs w:val="18"/>
        </w:rPr>
      </w:pPr>
      <w:r>
        <w:rPr>
          <w:sz w:val="20"/>
          <w:szCs w:val="18"/>
        </w:rPr>
        <w:t>Ensure “</w:t>
      </w:r>
      <w:r>
        <w:rPr>
          <w:sz w:val="20"/>
          <w:szCs w:val="18"/>
        </w:rPr>
        <w:sym w:font="Symbol" w:char="F044"/>
      </w:r>
      <w:r>
        <w:rPr>
          <w:sz w:val="20"/>
          <w:szCs w:val="18"/>
        </w:rPr>
        <w:t>PC1.5</w:t>
      </w:r>
      <w:r w:rsidRPr="006A07E9">
        <w:rPr>
          <w:sz w:val="20"/>
          <w:szCs w:val="18"/>
          <w:vertAlign w:val="subscript"/>
        </w:rPr>
        <w:t>max</w:t>
      </w:r>
      <w:r>
        <w:rPr>
          <w:sz w:val="20"/>
          <w:szCs w:val="18"/>
        </w:rPr>
        <w:t>” is greater than “</w:t>
      </w:r>
      <w:r>
        <w:rPr>
          <w:sz w:val="20"/>
          <w:szCs w:val="18"/>
        </w:rPr>
        <w:sym w:font="Symbol" w:char="F044"/>
      </w:r>
      <w:r>
        <w:rPr>
          <w:sz w:val="20"/>
          <w:szCs w:val="18"/>
        </w:rPr>
        <w:t>PC2</w:t>
      </w:r>
      <w:r>
        <w:rPr>
          <w:sz w:val="20"/>
          <w:szCs w:val="18"/>
          <w:vertAlign w:val="subscript"/>
        </w:rPr>
        <w:t>2Tx</w:t>
      </w:r>
      <w:r>
        <w:rPr>
          <w:sz w:val="20"/>
          <w:szCs w:val="18"/>
        </w:rPr>
        <w:t>” according to WF [2],</w:t>
      </w:r>
    </w:p>
    <w:p w14:paraId="446C5F2F" w14:textId="36F583CD" w:rsidR="006A07E9" w:rsidRDefault="006A07E9" w:rsidP="000D1D7A">
      <w:pPr>
        <w:pStyle w:val="ListParagraph"/>
        <w:numPr>
          <w:ilvl w:val="0"/>
          <w:numId w:val="34"/>
        </w:numPr>
        <w:jc w:val="both"/>
        <w:rPr>
          <w:sz w:val="20"/>
          <w:szCs w:val="18"/>
        </w:rPr>
      </w:pPr>
      <w:r>
        <w:rPr>
          <w:sz w:val="20"/>
          <w:szCs w:val="18"/>
        </w:rPr>
        <w:t>Prevent “</w:t>
      </w:r>
      <w:r>
        <w:rPr>
          <w:sz w:val="20"/>
          <w:szCs w:val="18"/>
        </w:rPr>
        <w:sym w:font="Symbol" w:char="F044"/>
      </w:r>
      <w:r>
        <w:rPr>
          <w:sz w:val="20"/>
          <w:szCs w:val="18"/>
        </w:rPr>
        <w:t>PC1.5</w:t>
      </w:r>
      <w:r w:rsidRPr="006A07E9">
        <w:rPr>
          <w:sz w:val="20"/>
          <w:szCs w:val="18"/>
          <w:vertAlign w:val="subscript"/>
        </w:rPr>
        <w:t>max</w:t>
      </w:r>
      <w:r>
        <w:rPr>
          <w:sz w:val="20"/>
          <w:szCs w:val="18"/>
        </w:rPr>
        <w:t>” from reaching excessive near ~11dB value. With 6dB imbalance, “</w:t>
      </w:r>
      <w:r>
        <w:rPr>
          <w:sz w:val="20"/>
          <w:szCs w:val="18"/>
        </w:rPr>
        <w:sym w:font="Symbol" w:char="F044"/>
      </w:r>
      <w:r>
        <w:rPr>
          <w:sz w:val="20"/>
          <w:szCs w:val="18"/>
        </w:rPr>
        <w:t>PC1.5</w:t>
      </w:r>
      <w:r w:rsidRPr="006A07E9">
        <w:rPr>
          <w:sz w:val="20"/>
          <w:szCs w:val="18"/>
          <w:vertAlign w:val="subscript"/>
        </w:rPr>
        <w:t>max</w:t>
      </w:r>
      <w:r>
        <w:rPr>
          <w:sz w:val="20"/>
          <w:szCs w:val="18"/>
        </w:rPr>
        <w:t>” reaches 9dB.</w:t>
      </w:r>
    </w:p>
    <w:p w14:paraId="174A415B" w14:textId="77777777" w:rsidR="00C420BA" w:rsidRDefault="00C420BA" w:rsidP="00C420BA">
      <w:pPr>
        <w:pStyle w:val="ListParagraph"/>
        <w:ind w:left="644"/>
        <w:jc w:val="both"/>
        <w:rPr>
          <w:sz w:val="20"/>
          <w:szCs w:val="18"/>
        </w:rPr>
      </w:pPr>
    </w:p>
    <w:p w14:paraId="048F39D8" w14:textId="630C72BC" w:rsidR="006A07E9" w:rsidRDefault="006A07E9" w:rsidP="006A07E9">
      <w:pPr>
        <w:jc w:val="both"/>
        <w:rPr>
          <w:sz w:val="20"/>
          <w:szCs w:val="18"/>
        </w:rPr>
      </w:pPr>
      <w:r>
        <w:rPr>
          <w:sz w:val="20"/>
          <w:szCs w:val="18"/>
        </w:rPr>
        <w:t>The main concern is that 11dB “</w:t>
      </w:r>
      <w:r>
        <w:rPr>
          <w:sz w:val="20"/>
          <w:szCs w:val="18"/>
        </w:rPr>
        <w:sym w:font="Symbol" w:char="F044"/>
      </w:r>
      <w:r>
        <w:rPr>
          <w:sz w:val="20"/>
          <w:szCs w:val="18"/>
        </w:rPr>
        <w:t>PC1.5</w:t>
      </w:r>
      <w:r w:rsidRPr="006A07E9">
        <w:rPr>
          <w:sz w:val="20"/>
          <w:szCs w:val="18"/>
          <w:vertAlign w:val="subscript"/>
        </w:rPr>
        <w:t>max</w:t>
      </w:r>
      <w:r>
        <w:rPr>
          <w:sz w:val="20"/>
          <w:szCs w:val="18"/>
        </w:rPr>
        <w:t>” may penalize PC1.5 performance</w:t>
      </w:r>
      <w:r w:rsidR="005676B7">
        <w:rPr>
          <w:sz w:val="20"/>
          <w:szCs w:val="18"/>
        </w:rPr>
        <w:t xml:space="preserve"> when 9dB imbalance is assumed</w:t>
      </w:r>
      <w:r w:rsidR="00E94BD3">
        <w:rPr>
          <w:sz w:val="20"/>
          <w:szCs w:val="18"/>
        </w:rPr>
        <w:t xml:space="preserve"> as shown in </w:t>
      </w:r>
      <w:r w:rsidR="00E94BD3">
        <w:rPr>
          <w:sz w:val="20"/>
          <w:szCs w:val="18"/>
        </w:rPr>
        <w:fldChar w:fldCharType="begin"/>
      </w:r>
      <w:r w:rsidR="00E94BD3">
        <w:rPr>
          <w:sz w:val="20"/>
          <w:szCs w:val="18"/>
        </w:rPr>
        <w:instrText xml:space="preserve"> REF _Ref193891801 \h </w:instrText>
      </w:r>
      <w:r w:rsidR="00E94BD3">
        <w:rPr>
          <w:sz w:val="20"/>
          <w:szCs w:val="18"/>
        </w:rPr>
      </w:r>
      <w:r w:rsidR="00E94BD3">
        <w:rPr>
          <w:sz w:val="20"/>
          <w:szCs w:val="18"/>
        </w:rPr>
        <w:fldChar w:fldCharType="separate"/>
      </w:r>
      <w:r w:rsidR="00E94BD3" w:rsidRPr="00A011CF">
        <w:rPr>
          <w:b/>
          <w:bCs/>
          <w:sz w:val="20"/>
          <w:szCs w:val="18"/>
        </w:rPr>
        <w:t xml:space="preserve">Figure </w:t>
      </w:r>
      <w:r w:rsidR="00E94BD3">
        <w:rPr>
          <w:b/>
          <w:bCs/>
          <w:noProof/>
          <w:sz w:val="20"/>
          <w:szCs w:val="18"/>
        </w:rPr>
        <w:t>3</w:t>
      </w:r>
      <w:r w:rsidR="00E94BD3">
        <w:rPr>
          <w:sz w:val="20"/>
          <w:szCs w:val="18"/>
        </w:rPr>
        <w:fldChar w:fldCharType="end"/>
      </w:r>
      <w:r w:rsidR="00E94BD3">
        <w:rPr>
          <w:sz w:val="20"/>
          <w:szCs w:val="18"/>
        </w:rPr>
        <w:t>.</w:t>
      </w:r>
      <w:r w:rsidR="005676B7">
        <w:rPr>
          <w:sz w:val="20"/>
          <w:szCs w:val="18"/>
        </w:rPr>
        <w:t xml:space="preserve"> </w:t>
      </w:r>
    </w:p>
    <w:p w14:paraId="0E466F13" w14:textId="239984E1" w:rsidR="005676B7" w:rsidRDefault="005676B7" w:rsidP="009568C7">
      <w:pPr>
        <w:jc w:val="center"/>
        <w:rPr>
          <w:sz w:val="20"/>
          <w:szCs w:val="18"/>
        </w:rPr>
      </w:pPr>
      <w:r w:rsidRPr="005676B7">
        <w:rPr>
          <w:noProof/>
        </w:rPr>
        <w:drawing>
          <wp:inline distT="0" distB="0" distL="0" distR="0" wp14:anchorId="36CC4D91" wp14:editId="77932879">
            <wp:extent cx="2855682" cy="2180037"/>
            <wp:effectExtent l="0" t="0" r="1905" b="0"/>
            <wp:docPr id="9973113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7679" cy="2189195"/>
                    </a:xfrm>
                    <a:prstGeom prst="rect">
                      <a:avLst/>
                    </a:prstGeom>
                    <a:noFill/>
                    <a:ln>
                      <a:noFill/>
                    </a:ln>
                  </pic:spPr>
                </pic:pic>
              </a:graphicData>
            </a:graphic>
          </wp:inline>
        </w:drawing>
      </w:r>
      <w:r w:rsidRPr="005676B7">
        <w:rPr>
          <w:noProof/>
        </w:rPr>
        <w:drawing>
          <wp:inline distT="0" distB="0" distL="0" distR="0" wp14:anchorId="3B962557" wp14:editId="49992BFD">
            <wp:extent cx="2811211" cy="2146087"/>
            <wp:effectExtent l="0" t="0" r="8255" b="6985"/>
            <wp:docPr id="8824978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1947" cy="2161917"/>
                    </a:xfrm>
                    <a:prstGeom prst="rect">
                      <a:avLst/>
                    </a:prstGeom>
                    <a:noFill/>
                    <a:ln>
                      <a:noFill/>
                    </a:ln>
                  </pic:spPr>
                </pic:pic>
              </a:graphicData>
            </a:graphic>
          </wp:inline>
        </w:drawing>
      </w:r>
    </w:p>
    <w:p w14:paraId="3FFB4D0C" w14:textId="6F9A7B73" w:rsidR="005676B7" w:rsidRDefault="005676B7" w:rsidP="005676B7">
      <w:pPr>
        <w:pStyle w:val="ListParagraph"/>
        <w:ind w:left="360"/>
        <w:rPr>
          <w:bCs/>
          <w:sz w:val="20"/>
          <w:szCs w:val="18"/>
        </w:rPr>
      </w:pPr>
      <w:bookmarkStart w:id="6" w:name="_Ref193891801"/>
      <w:r w:rsidRPr="00A011CF">
        <w:rPr>
          <w:b/>
          <w:bCs/>
          <w:sz w:val="20"/>
          <w:szCs w:val="18"/>
        </w:rPr>
        <w:t xml:space="preserve">Figure </w:t>
      </w:r>
      <w:r w:rsidRPr="00A011CF">
        <w:rPr>
          <w:b/>
          <w:bCs/>
          <w:sz w:val="20"/>
          <w:szCs w:val="18"/>
        </w:rPr>
        <w:fldChar w:fldCharType="begin"/>
      </w:r>
      <w:r w:rsidRPr="00A011CF">
        <w:rPr>
          <w:b/>
          <w:bCs/>
          <w:sz w:val="20"/>
          <w:szCs w:val="18"/>
        </w:rPr>
        <w:instrText xml:space="preserve"> SEQ Figure \* ARABIC </w:instrText>
      </w:r>
      <w:r w:rsidRPr="00A011CF">
        <w:rPr>
          <w:b/>
          <w:bCs/>
          <w:sz w:val="20"/>
          <w:szCs w:val="18"/>
        </w:rPr>
        <w:fldChar w:fldCharType="separate"/>
      </w:r>
      <w:r>
        <w:rPr>
          <w:b/>
          <w:bCs/>
          <w:noProof/>
          <w:sz w:val="20"/>
          <w:szCs w:val="18"/>
        </w:rPr>
        <w:t>3</w:t>
      </w:r>
      <w:r w:rsidRPr="00A011CF">
        <w:rPr>
          <w:b/>
          <w:bCs/>
          <w:sz w:val="20"/>
          <w:szCs w:val="18"/>
        </w:rPr>
        <w:fldChar w:fldCharType="end"/>
      </w:r>
      <w:bookmarkEnd w:id="6"/>
      <w:r w:rsidRPr="00AE222E">
        <w:rPr>
          <w:bCs/>
          <w:sz w:val="20"/>
          <w:szCs w:val="18"/>
        </w:rPr>
        <w:t xml:space="preserve">:  </w:t>
      </w:r>
      <w:r>
        <w:rPr>
          <w:bCs/>
          <w:sz w:val="20"/>
          <w:szCs w:val="18"/>
        </w:rPr>
        <w:sym w:font="Symbol" w:char="F044"/>
      </w:r>
      <w:r>
        <w:rPr>
          <w:bCs/>
          <w:sz w:val="20"/>
          <w:szCs w:val="18"/>
        </w:rPr>
        <w:t xml:space="preserve">PC2, </w:t>
      </w:r>
      <w:r>
        <w:rPr>
          <w:bCs/>
          <w:sz w:val="20"/>
          <w:szCs w:val="18"/>
        </w:rPr>
        <w:sym w:font="Symbol" w:char="F044"/>
      </w:r>
      <w:r>
        <w:rPr>
          <w:bCs/>
          <w:sz w:val="20"/>
          <w:szCs w:val="18"/>
        </w:rPr>
        <w:t>PC1.5 curves for PC3 1Tx Main/Div. imbalance of 6dB (left) and 9dB (right) and 0.5dB rev-IMD, 3dB PC2 1Tx interference increase from PC3 1Tx.</w:t>
      </w:r>
    </w:p>
    <w:p w14:paraId="26885EDE" w14:textId="77777777" w:rsidR="009568C7" w:rsidRPr="00AE222E" w:rsidRDefault="009568C7" w:rsidP="005676B7">
      <w:pPr>
        <w:pStyle w:val="ListParagraph"/>
        <w:ind w:left="360"/>
        <w:rPr>
          <w:sz w:val="20"/>
          <w:szCs w:val="18"/>
        </w:rPr>
      </w:pPr>
    </w:p>
    <w:p w14:paraId="10BFA49F" w14:textId="0023F190" w:rsidR="00692A3E" w:rsidRDefault="00692A3E" w:rsidP="006A07E9">
      <w:pPr>
        <w:jc w:val="both"/>
        <w:rPr>
          <w:sz w:val="20"/>
          <w:szCs w:val="18"/>
        </w:rPr>
      </w:pPr>
      <w:r>
        <w:rPr>
          <w:sz w:val="20"/>
          <w:szCs w:val="18"/>
        </w:rPr>
        <w:t>At meeting #114, several companies commented that 6dB imbalance may not be representative of all cases. This is true</w:t>
      </w:r>
      <w:r w:rsidR="00CE3E55">
        <w:rPr>
          <w:sz w:val="20"/>
          <w:szCs w:val="18"/>
        </w:rPr>
        <w:t xml:space="preserve"> for some </w:t>
      </w:r>
      <w:r w:rsidR="006448AE">
        <w:rPr>
          <w:sz w:val="20"/>
          <w:szCs w:val="18"/>
        </w:rPr>
        <w:t>cases;</w:t>
      </w:r>
      <w:r>
        <w:rPr>
          <w:sz w:val="20"/>
          <w:szCs w:val="18"/>
        </w:rPr>
        <w:t xml:space="preserve"> however, we would like to remind that the specified MSD requirements rarely represent the assumptions of all contributing companies. This is because when different MSD requirements are proposed for a given band combination, RAN4 consensus is often reached by averaging the MSD levels from each TP.</w:t>
      </w:r>
    </w:p>
    <w:p w14:paraId="3C7B413D" w14:textId="77777777" w:rsidR="00C420BA" w:rsidRDefault="00C420BA" w:rsidP="006A07E9">
      <w:pPr>
        <w:jc w:val="both"/>
        <w:rPr>
          <w:sz w:val="20"/>
          <w:szCs w:val="18"/>
        </w:rPr>
      </w:pPr>
    </w:p>
    <w:p w14:paraId="3D043FD3" w14:textId="334D52C2" w:rsidR="00692A3E" w:rsidRDefault="00CE3E55" w:rsidP="006A07E9">
      <w:pPr>
        <w:jc w:val="both"/>
        <w:rPr>
          <w:sz w:val="20"/>
          <w:szCs w:val="18"/>
        </w:rPr>
      </w:pPr>
      <w:r>
        <w:rPr>
          <w:sz w:val="20"/>
          <w:szCs w:val="18"/>
        </w:rPr>
        <w:t xml:space="preserve">For example, for the band n78 MSD due to </w:t>
      </w:r>
      <w:r w:rsidR="00C420BA">
        <w:rPr>
          <w:sz w:val="20"/>
          <w:szCs w:val="18"/>
        </w:rPr>
        <w:t xml:space="preserve">the </w:t>
      </w:r>
      <w:r>
        <w:rPr>
          <w:sz w:val="20"/>
          <w:szCs w:val="18"/>
        </w:rPr>
        <w:t xml:space="preserve">band n3 1Tx PC2 operation, three different Main/Div. </w:t>
      </w:r>
      <w:r w:rsidR="00C420BA">
        <w:rPr>
          <w:sz w:val="20"/>
          <w:szCs w:val="18"/>
        </w:rPr>
        <w:t xml:space="preserve">total noise </w:t>
      </w:r>
      <w:r>
        <w:rPr>
          <w:sz w:val="20"/>
          <w:szCs w:val="18"/>
        </w:rPr>
        <w:t>imbalance were evaluated:  2.4dB, 6.3dB and 16dB [8, 9, 10]. Consensus was reached by averaging the MSD requirements of each TP. The MSD averaging process results in an “virtual” Main/Div. imbalance of ~9dB, which was not evaluated by any company.</w:t>
      </w:r>
    </w:p>
    <w:p w14:paraId="3AF1D1C0" w14:textId="77777777" w:rsidR="00C420BA" w:rsidRDefault="00C420BA" w:rsidP="006A07E9">
      <w:pPr>
        <w:jc w:val="both"/>
        <w:rPr>
          <w:sz w:val="20"/>
          <w:szCs w:val="18"/>
        </w:rPr>
      </w:pPr>
    </w:p>
    <w:p w14:paraId="02898A09" w14:textId="5A76B4A9" w:rsidR="00692A3E" w:rsidRDefault="00FD57ED" w:rsidP="006A07E9">
      <w:pPr>
        <w:jc w:val="both"/>
        <w:rPr>
          <w:sz w:val="20"/>
          <w:szCs w:val="18"/>
        </w:rPr>
      </w:pPr>
      <w:r>
        <w:rPr>
          <w:sz w:val="20"/>
          <w:szCs w:val="18"/>
        </w:rPr>
        <w:t xml:space="preserve">In summary, it can be </w:t>
      </w:r>
      <w:r w:rsidR="00C420BA">
        <w:rPr>
          <w:sz w:val="20"/>
          <w:szCs w:val="18"/>
        </w:rPr>
        <w:t xml:space="preserve">noted </w:t>
      </w:r>
      <w:r>
        <w:rPr>
          <w:sz w:val="20"/>
          <w:szCs w:val="18"/>
        </w:rPr>
        <w:t xml:space="preserve">that it is near impossible to find a single Main/Div interference imbalance assumption that could be considered as representative of several years’ worth of RAN4 work and several tens (if not hundreds) of MSD analyses. We believe </w:t>
      </w:r>
      <w:r w:rsidR="00C420BA">
        <w:rPr>
          <w:sz w:val="20"/>
          <w:szCs w:val="18"/>
        </w:rPr>
        <w:t xml:space="preserve">that the </w:t>
      </w:r>
      <w:r>
        <w:rPr>
          <w:sz w:val="20"/>
          <w:szCs w:val="18"/>
        </w:rPr>
        <w:t>6dB</w:t>
      </w:r>
      <w:r w:rsidR="00C420BA">
        <w:rPr>
          <w:sz w:val="20"/>
          <w:szCs w:val="18"/>
        </w:rPr>
        <w:t xml:space="preserve"> assumption</w:t>
      </w:r>
      <w:r>
        <w:rPr>
          <w:sz w:val="20"/>
          <w:szCs w:val="18"/>
        </w:rPr>
        <w:t xml:space="preserve"> is a reasonable compromise that should be adopted to design MSD simplification LUT/equations.</w:t>
      </w:r>
    </w:p>
    <w:p w14:paraId="46085267" w14:textId="77777777" w:rsidR="00613EEE" w:rsidRPr="006A07E9" w:rsidRDefault="00613EEE" w:rsidP="006A07E9">
      <w:pPr>
        <w:jc w:val="both"/>
        <w:rPr>
          <w:sz w:val="20"/>
          <w:szCs w:val="18"/>
        </w:rPr>
      </w:pPr>
    </w:p>
    <w:p w14:paraId="13632172" w14:textId="54ACEEBC" w:rsidR="0047590F" w:rsidRDefault="0047590F" w:rsidP="00603B6C">
      <w:pPr>
        <w:shd w:val="clear" w:color="auto" w:fill="DAEEF3" w:themeFill="accent5" w:themeFillTint="33"/>
        <w:jc w:val="both"/>
        <w:rPr>
          <w:sz w:val="20"/>
          <w:szCs w:val="18"/>
        </w:rPr>
      </w:pPr>
      <w:r w:rsidRPr="008874C5">
        <w:rPr>
          <w:b/>
          <w:bCs/>
          <w:sz w:val="20"/>
          <w:szCs w:val="18"/>
        </w:rPr>
        <w:t>Observation</w:t>
      </w:r>
      <w:r w:rsidR="008874C5" w:rsidRPr="008874C5">
        <w:rPr>
          <w:b/>
          <w:bCs/>
          <w:sz w:val="20"/>
          <w:szCs w:val="18"/>
        </w:rPr>
        <w:t xml:space="preserve"> 2</w:t>
      </w:r>
      <w:r>
        <w:rPr>
          <w:sz w:val="20"/>
          <w:szCs w:val="18"/>
        </w:rPr>
        <w:t xml:space="preserve">: The adoption of a single PC3 1Tx Main/Div. interference imbalance assumption </w:t>
      </w:r>
      <w:r w:rsidR="008874C5">
        <w:rPr>
          <w:sz w:val="20"/>
          <w:szCs w:val="18"/>
        </w:rPr>
        <w:t>cannot</w:t>
      </w:r>
      <w:r>
        <w:rPr>
          <w:sz w:val="20"/>
          <w:szCs w:val="18"/>
        </w:rPr>
        <w:t xml:space="preserve"> represent every </w:t>
      </w:r>
      <w:r w:rsidR="008874C5">
        <w:rPr>
          <w:sz w:val="20"/>
          <w:szCs w:val="18"/>
        </w:rPr>
        <w:t>company’s</w:t>
      </w:r>
      <w:r>
        <w:rPr>
          <w:sz w:val="20"/>
          <w:szCs w:val="18"/>
        </w:rPr>
        <w:t xml:space="preserve"> RF-FE </w:t>
      </w:r>
      <w:proofErr w:type="gramStart"/>
      <w:r>
        <w:rPr>
          <w:sz w:val="20"/>
          <w:szCs w:val="18"/>
        </w:rPr>
        <w:t>assumptions</w:t>
      </w:r>
      <w:proofErr w:type="gramEnd"/>
      <w:r>
        <w:rPr>
          <w:sz w:val="20"/>
          <w:szCs w:val="18"/>
        </w:rPr>
        <w:t xml:space="preserve">. RAN4 </w:t>
      </w:r>
      <w:r w:rsidR="00724CD6">
        <w:rPr>
          <w:sz w:val="20"/>
          <w:szCs w:val="18"/>
        </w:rPr>
        <w:t xml:space="preserve">rarely </w:t>
      </w:r>
      <w:r>
        <w:rPr>
          <w:sz w:val="20"/>
          <w:szCs w:val="18"/>
        </w:rPr>
        <w:t xml:space="preserve">adopts MSD requirements that are 100% aligned with </w:t>
      </w:r>
      <w:r w:rsidR="008874C5">
        <w:rPr>
          <w:sz w:val="20"/>
          <w:szCs w:val="18"/>
        </w:rPr>
        <w:t>all company’s views and assumptions</w:t>
      </w:r>
      <w:r>
        <w:rPr>
          <w:sz w:val="20"/>
          <w:szCs w:val="18"/>
        </w:rPr>
        <w:t>. This is because RAN4 often finds consensus by averaging the MSD evaluations from all contributing companies. In some extreme cases, RAN4 even ignored “outliers” when averaging MSD requirements.</w:t>
      </w:r>
    </w:p>
    <w:p w14:paraId="2DC35D59" w14:textId="77777777" w:rsidR="00613EEE" w:rsidRDefault="00613EEE" w:rsidP="0047590F">
      <w:pPr>
        <w:jc w:val="both"/>
        <w:rPr>
          <w:sz w:val="20"/>
          <w:szCs w:val="18"/>
        </w:rPr>
      </w:pPr>
    </w:p>
    <w:p w14:paraId="6C6AB5C2" w14:textId="379C066B" w:rsidR="006A07E9" w:rsidRDefault="0047590F" w:rsidP="00603B6C">
      <w:pPr>
        <w:shd w:val="clear" w:color="auto" w:fill="DAEEF3" w:themeFill="accent5" w:themeFillTint="33"/>
        <w:jc w:val="both"/>
        <w:rPr>
          <w:sz w:val="20"/>
          <w:szCs w:val="18"/>
        </w:rPr>
      </w:pPr>
      <w:r w:rsidRPr="008874C5">
        <w:rPr>
          <w:b/>
          <w:bCs/>
          <w:sz w:val="20"/>
          <w:szCs w:val="18"/>
        </w:rPr>
        <w:t>Observation</w:t>
      </w:r>
      <w:r w:rsidR="008874C5" w:rsidRPr="008874C5">
        <w:rPr>
          <w:b/>
          <w:bCs/>
          <w:sz w:val="20"/>
          <w:szCs w:val="18"/>
        </w:rPr>
        <w:t xml:space="preserve"> 3</w:t>
      </w:r>
      <w:r>
        <w:rPr>
          <w:sz w:val="20"/>
          <w:szCs w:val="18"/>
        </w:rPr>
        <w:t xml:space="preserve">: Assuming PC3 1Tx 6dB Main/Div. interference imbalance may not represent all RF-FE architecture assumptions, but this assumption may </w:t>
      </w:r>
      <w:r w:rsidR="000377DE">
        <w:rPr>
          <w:sz w:val="20"/>
          <w:szCs w:val="18"/>
        </w:rPr>
        <w:t>be considered</w:t>
      </w:r>
      <w:r>
        <w:rPr>
          <w:sz w:val="20"/>
          <w:szCs w:val="18"/>
        </w:rPr>
        <w:t xml:space="preserve"> as a reasonable compromise to ensure that PC1.5 is not penalized. </w:t>
      </w:r>
    </w:p>
    <w:p w14:paraId="3EC3D219" w14:textId="21158A55" w:rsidR="00E43500" w:rsidRDefault="001A6F57" w:rsidP="005C681A">
      <w:pPr>
        <w:pStyle w:val="Heading2"/>
        <w:tabs>
          <w:tab w:val="clear" w:pos="432"/>
          <w:tab w:val="left" w:pos="709"/>
        </w:tabs>
        <w:ind w:left="0"/>
        <w:rPr>
          <w:rStyle w:val="NMPHeading1Char1"/>
          <w:rFonts w:cs="Arial"/>
          <w:b/>
          <w:bCs/>
          <w:sz w:val="24"/>
          <w:szCs w:val="14"/>
        </w:rPr>
      </w:pPr>
      <w:r w:rsidRPr="001A6F57">
        <w:rPr>
          <w:rStyle w:val="NMPHeading1Char1"/>
          <w:rFonts w:cs="Arial"/>
          <w:b/>
          <w:bCs/>
          <w:sz w:val="24"/>
          <w:szCs w:val="14"/>
        </w:rPr>
        <w:t xml:space="preserve">Addressing concerns on </w:t>
      </w:r>
      <w:r w:rsidR="005C681A">
        <w:rPr>
          <w:rStyle w:val="NMPHeading1Char1"/>
          <w:rFonts w:cs="Arial"/>
          <w:b/>
          <w:bCs/>
          <w:sz w:val="24"/>
          <w:szCs w:val="14"/>
        </w:rPr>
        <w:t>specifying</w:t>
      </w:r>
      <w:r w:rsidRPr="001A6F57">
        <w:rPr>
          <w:rStyle w:val="NMPHeading1Char1"/>
          <w:rFonts w:cs="Arial"/>
          <w:b/>
          <w:bCs/>
          <w:sz w:val="24"/>
          <w:szCs w:val="14"/>
        </w:rPr>
        <w:t xml:space="preserve"> a single 1UL HPUE LUT for all MSD types</w:t>
      </w:r>
      <w:r w:rsidR="005C681A">
        <w:rPr>
          <w:rStyle w:val="NMPHeading1Char1"/>
          <w:rFonts w:cs="Arial"/>
          <w:b/>
          <w:bCs/>
          <w:sz w:val="24"/>
          <w:szCs w:val="14"/>
        </w:rPr>
        <w:t>.</w:t>
      </w:r>
    </w:p>
    <w:p w14:paraId="3BCE8D12" w14:textId="7E06D15D" w:rsidR="00F12445" w:rsidRDefault="00F12445" w:rsidP="00522074">
      <w:pPr>
        <w:jc w:val="both"/>
        <w:rPr>
          <w:sz w:val="20"/>
          <w:szCs w:val="18"/>
        </w:rPr>
      </w:pPr>
      <w:r>
        <w:rPr>
          <w:sz w:val="20"/>
          <w:szCs w:val="18"/>
        </w:rPr>
        <w:t>There are there 1UL MSD types:</w:t>
      </w:r>
    </w:p>
    <w:p w14:paraId="5D3F51B0" w14:textId="63F15C51" w:rsidR="00F12445" w:rsidRDefault="00F12445" w:rsidP="000D1D7A">
      <w:pPr>
        <w:pStyle w:val="ListParagraph"/>
        <w:numPr>
          <w:ilvl w:val="0"/>
          <w:numId w:val="33"/>
        </w:numPr>
        <w:jc w:val="both"/>
        <w:rPr>
          <w:sz w:val="20"/>
          <w:szCs w:val="18"/>
        </w:rPr>
      </w:pPr>
      <w:r>
        <w:rPr>
          <w:sz w:val="20"/>
          <w:szCs w:val="18"/>
        </w:rPr>
        <w:t xml:space="preserve">MSD due to harmonic </w:t>
      </w:r>
      <w:proofErr w:type="gramStart"/>
      <w:r>
        <w:rPr>
          <w:sz w:val="20"/>
          <w:szCs w:val="18"/>
        </w:rPr>
        <w:t>interference</w:t>
      </w:r>
      <w:r w:rsidR="00FD74CE">
        <w:rPr>
          <w:sz w:val="20"/>
          <w:szCs w:val="18"/>
        </w:rPr>
        <w:t>;</w:t>
      </w:r>
      <w:proofErr w:type="gramEnd"/>
    </w:p>
    <w:p w14:paraId="1DA15C11" w14:textId="3D63785D" w:rsidR="00F12445" w:rsidRDefault="00F12445" w:rsidP="000D1D7A">
      <w:pPr>
        <w:pStyle w:val="ListParagraph"/>
        <w:numPr>
          <w:ilvl w:val="0"/>
          <w:numId w:val="33"/>
        </w:numPr>
        <w:jc w:val="both"/>
        <w:rPr>
          <w:sz w:val="20"/>
          <w:szCs w:val="18"/>
        </w:rPr>
      </w:pPr>
      <w:r>
        <w:rPr>
          <w:sz w:val="20"/>
          <w:szCs w:val="18"/>
        </w:rPr>
        <w:t>MSD due to harmonic mixing interference</w:t>
      </w:r>
      <w:r w:rsidR="00FD74CE">
        <w:rPr>
          <w:sz w:val="20"/>
          <w:szCs w:val="18"/>
        </w:rPr>
        <w:t>; and</w:t>
      </w:r>
    </w:p>
    <w:p w14:paraId="4B97AE84" w14:textId="0A39F07B" w:rsidR="00F12445" w:rsidRPr="00F12445" w:rsidRDefault="00F12445" w:rsidP="000D1D7A">
      <w:pPr>
        <w:pStyle w:val="ListParagraph"/>
        <w:numPr>
          <w:ilvl w:val="0"/>
          <w:numId w:val="33"/>
        </w:numPr>
        <w:jc w:val="both"/>
        <w:rPr>
          <w:sz w:val="20"/>
          <w:szCs w:val="18"/>
        </w:rPr>
      </w:pPr>
      <w:r>
        <w:rPr>
          <w:sz w:val="20"/>
          <w:szCs w:val="18"/>
        </w:rPr>
        <w:t>MSD due to cross-band isolation.</w:t>
      </w:r>
    </w:p>
    <w:p w14:paraId="160B0D4E" w14:textId="62DC4290" w:rsidR="00F12445" w:rsidRDefault="00F12445" w:rsidP="00522074">
      <w:pPr>
        <w:jc w:val="both"/>
        <w:rPr>
          <w:sz w:val="20"/>
          <w:szCs w:val="18"/>
        </w:rPr>
      </w:pPr>
      <w:r>
        <w:rPr>
          <w:sz w:val="20"/>
          <w:szCs w:val="18"/>
        </w:rPr>
        <w:t xml:space="preserve">Based on </w:t>
      </w:r>
      <w:r w:rsidR="00FD74CE">
        <w:rPr>
          <w:sz w:val="20"/>
          <w:szCs w:val="18"/>
        </w:rPr>
        <w:t>O</w:t>
      </w:r>
      <w:r>
        <w:rPr>
          <w:sz w:val="20"/>
          <w:szCs w:val="18"/>
        </w:rPr>
        <w:t>bservation</w:t>
      </w:r>
      <w:r w:rsidR="00FD74CE">
        <w:rPr>
          <w:sz w:val="20"/>
          <w:szCs w:val="18"/>
        </w:rPr>
        <w:t>s</w:t>
      </w:r>
      <w:r>
        <w:rPr>
          <w:sz w:val="20"/>
          <w:szCs w:val="18"/>
        </w:rPr>
        <w:t xml:space="preserve"> 1 and 3, we proposed to adopt the single LUT set of</w:t>
      </w:r>
      <w:r w:rsidR="00A46C8A">
        <w:rPr>
          <w:sz w:val="20"/>
          <w:szCs w:val="18"/>
        </w:rPr>
        <w:t xml:space="preserve"> </w:t>
      </w:r>
      <w:r>
        <w:rPr>
          <w:sz w:val="20"/>
          <w:szCs w:val="18"/>
        </w:rPr>
        <w:t xml:space="preserve"> </w:t>
      </w:r>
      <w:r w:rsidR="00A46C8A">
        <w:rPr>
          <w:sz w:val="20"/>
          <w:szCs w:val="18"/>
        </w:rPr>
        <w:fldChar w:fldCharType="begin"/>
      </w:r>
      <w:r w:rsidR="00A46C8A">
        <w:rPr>
          <w:sz w:val="20"/>
          <w:szCs w:val="18"/>
        </w:rPr>
        <w:instrText xml:space="preserve"> REF _Ref193892574 \h </w:instrText>
      </w:r>
      <w:r w:rsidR="00A46C8A">
        <w:rPr>
          <w:sz w:val="20"/>
          <w:szCs w:val="18"/>
        </w:rPr>
      </w:r>
      <w:r w:rsidR="00A46C8A">
        <w:rPr>
          <w:sz w:val="20"/>
          <w:szCs w:val="18"/>
        </w:rPr>
        <w:fldChar w:fldCharType="separate"/>
      </w:r>
      <w:r w:rsidR="00A46C8A" w:rsidRPr="00A46C8A">
        <w:rPr>
          <w:b/>
          <w:kern w:val="2"/>
          <w:sz w:val="20"/>
        </w:rPr>
        <w:t xml:space="preserve">Table </w:t>
      </w:r>
      <w:r w:rsidR="00A46C8A">
        <w:rPr>
          <w:b/>
          <w:noProof/>
          <w:kern w:val="2"/>
          <w:sz w:val="20"/>
        </w:rPr>
        <w:t>1</w:t>
      </w:r>
      <w:r w:rsidR="00A46C8A">
        <w:rPr>
          <w:sz w:val="20"/>
          <w:szCs w:val="18"/>
        </w:rPr>
        <w:fldChar w:fldCharType="end"/>
      </w:r>
      <w:r w:rsidR="00A46C8A">
        <w:rPr>
          <w:sz w:val="20"/>
          <w:szCs w:val="18"/>
        </w:rPr>
        <w:t xml:space="preserve"> for all 1UL MSD types, with </w:t>
      </w:r>
      <w:r>
        <w:rPr>
          <w:sz w:val="20"/>
          <w:szCs w:val="18"/>
        </w:rPr>
        <w:t>3</w:t>
      </w:r>
      <w:r w:rsidR="00A46C8A">
        <w:rPr>
          <w:sz w:val="20"/>
          <w:szCs w:val="18"/>
        </w:rPr>
        <w:t>dB</w:t>
      </w:r>
      <w:r>
        <w:rPr>
          <w:sz w:val="20"/>
          <w:szCs w:val="18"/>
        </w:rPr>
        <w:t>, 6</w:t>
      </w:r>
      <w:r w:rsidR="00A46C8A">
        <w:rPr>
          <w:sz w:val="20"/>
          <w:szCs w:val="18"/>
        </w:rPr>
        <w:t>dB</w:t>
      </w:r>
      <w:r>
        <w:rPr>
          <w:sz w:val="20"/>
          <w:szCs w:val="18"/>
        </w:rPr>
        <w:t>,</w:t>
      </w:r>
      <w:r w:rsidR="00A46C8A">
        <w:rPr>
          <w:sz w:val="20"/>
          <w:szCs w:val="18"/>
        </w:rPr>
        <w:t xml:space="preserve"> and 9dB </w:t>
      </w:r>
      <w:r w:rsidR="00A46C8A">
        <w:rPr>
          <w:sz w:val="20"/>
          <w:szCs w:val="18"/>
        </w:rPr>
        <w:sym w:font="Symbol" w:char="F044"/>
      </w:r>
      <w:r w:rsidR="00A46C8A">
        <w:rPr>
          <w:sz w:val="20"/>
          <w:szCs w:val="18"/>
        </w:rPr>
        <w:t>PC2</w:t>
      </w:r>
      <w:r w:rsidR="00A46C8A">
        <w:rPr>
          <w:sz w:val="20"/>
          <w:szCs w:val="18"/>
          <w:vertAlign w:val="subscript"/>
        </w:rPr>
        <w:t>1Tx_m</w:t>
      </w:r>
      <w:r w:rsidR="00A46C8A" w:rsidRPr="00F12445">
        <w:rPr>
          <w:sz w:val="20"/>
          <w:szCs w:val="18"/>
          <w:vertAlign w:val="subscript"/>
        </w:rPr>
        <w:t>ax</w:t>
      </w:r>
      <w:r w:rsidR="00A46C8A">
        <w:rPr>
          <w:sz w:val="20"/>
          <w:szCs w:val="18"/>
          <w:vertAlign w:val="subscript"/>
        </w:rPr>
        <w:t>,</w:t>
      </w:r>
      <w:r>
        <w:rPr>
          <w:sz w:val="20"/>
          <w:szCs w:val="18"/>
        </w:rPr>
        <w:t xml:space="preserve"> </w:t>
      </w:r>
      <w:r>
        <w:rPr>
          <w:sz w:val="20"/>
          <w:szCs w:val="18"/>
        </w:rPr>
        <w:sym w:font="Symbol" w:char="F044"/>
      </w:r>
      <w:r>
        <w:rPr>
          <w:sz w:val="20"/>
          <w:szCs w:val="18"/>
        </w:rPr>
        <w:t>PC2</w:t>
      </w:r>
      <w:r>
        <w:rPr>
          <w:sz w:val="20"/>
          <w:szCs w:val="18"/>
          <w:vertAlign w:val="subscript"/>
        </w:rPr>
        <w:t>2Tx_m</w:t>
      </w:r>
      <w:r w:rsidRPr="00F12445">
        <w:rPr>
          <w:sz w:val="20"/>
          <w:szCs w:val="18"/>
          <w:vertAlign w:val="subscript"/>
        </w:rPr>
        <w:t>ax</w:t>
      </w:r>
      <w:r>
        <w:rPr>
          <w:sz w:val="20"/>
          <w:szCs w:val="18"/>
        </w:rPr>
        <w:t xml:space="preserve"> and </w:t>
      </w:r>
      <w:r>
        <w:rPr>
          <w:sz w:val="20"/>
          <w:szCs w:val="18"/>
        </w:rPr>
        <w:sym w:font="Symbol" w:char="F044"/>
      </w:r>
      <w:r>
        <w:rPr>
          <w:sz w:val="20"/>
          <w:szCs w:val="18"/>
        </w:rPr>
        <w:t>PC1.5</w:t>
      </w:r>
      <w:r w:rsidRPr="00F12445">
        <w:rPr>
          <w:sz w:val="20"/>
          <w:szCs w:val="18"/>
          <w:vertAlign w:val="subscript"/>
        </w:rPr>
        <w:t>max</w:t>
      </w:r>
      <w:r w:rsidR="00A46C8A">
        <w:rPr>
          <w:sz w:val="20"/>
          <w:szCs w:val="18"/>
          <w:vertAlign w:val="subscript"/>
        </w:rPr>
        <w:t>.</w:t>
      </w:r>
    </w:p>
    <w:p w14:paraId="2B3ACA5B" w14:textId="681D0700" w:rsidR="00A46C8A" w:rsidRPr="00A46C8A" w:rsidRDefault="00A46C8A" w:rsidP="00A46C8A">
      <w:pPr>
        <w:overflowPunct w:val="0"/>
        <w:autoSpaceDE w:val="0"/>
        <w:autoSpaceDN w:val="0"/>
        <w:adjustRightInd w:val="0"/>
        <w:spacing w:before="120" w:after="120"/>
        <w:jc w:val="center"/>
        <w:textAlignment w:val="baseline"/>
        <w:rPr>
          <w:bCs/>
          <w:kern w:val="2"/>
          <w:sz w:val="20"/>
          <w:lang w:eastAsia="en-GB"/>
        </w:rPr>
      </w:pPr>
      <w:bookmarkStart w:id="7" w:name="_Ref193892574"/>
      <w:r w:rsidRPr="00A46C8A">
        <w:rPr>
          <w:b/>
          <w:kern w:val="2"/>
          <w:sz w:val="20"/>
        </w:rPr>
        <w:t xml:space="preserve">Table </w:t>
      </w:r>
      <w:r w:rsidRPr="00A46C8A">
        <w:rPr>
          <w:b/>
          <w:kern w:val="2"/>
          <w:sz w:val="20"/>
        </w:rPr>
        <w:fldChar w:fldCharType="begin"/>
      </w:r>
      <w:r w:rsidRPr="00A46C8A">
        <w:rPr>
          <w:b/>
          <w:kern w:val="2"/>
          <w:sz w:val="20"/>
        </w:rPr>
        <w:instrText xml:space="preserve"> SEQ Table \* ARABIC </w:instrText>
      </w:r>
      <w:r w:rsidRPr="00A46C8A">
        <w:rPr>
          <w:b/>
          <w:kern w:val="2"/>
          <w:sz w:val="20"/>
        </w:rPr>
        <w:fldChar w:fldCharType="separate"/>
      </w:r>
      <w:r>
        <w:rPr>
          <w:b/>
          <w:noProof/>
          <w:kern w:val="2"/>
          <w:sz w:val="20"/>
        </w:rPr>
        <w:t>1</w:t>
      </w:r>
      <w:r w:rsidRPr="00A46C8A">
        <w:rPr>
          <w:b/>
          <w:kern w:val="2"/>
          <w:sz w:val="20"/>
        </w:rPr>
        <w:fldChar w:fldCharType="end"/>
      </w:r>
      <w:bookmarkEnd w:id="7"/>
      <w:r w:rsidRPr="00A46C8A">
        <w:rPr>
          <w:bCs/>
          <w:kern w:val="2"/>
          <w:sz w:val="20"/>
        </w:rPr>
        <w:t xml:space="preserve">: 1UL </w:t>
      </w:r>
      <w:r w:rsidRPr="00A46C8A">
        <w:rPr>
          <w:bCs/>
          <w:kern w:val="2"/>
          <w:sz w:val="20"/>
        </w:rPr>
        <w:sym w:font="Symbol" w:char="F044"/>
      </w:r>
      <w:r w:rsidRPr="00A46C8A">
        <w:rPr>
          <w:bCs/>
          <w:kern w:val="2"/>
          <w:sz w:val="20"/>
          <w:lang w:eastAsia="en-GB"/>
        </w:rPr>
        <w:t>PC2</w:t>
      </w:r>
      <w:r w:rsidRPr="00A46C8A">
        <w:rPr>
          <w:bCs/>
          <w:kern w:val="2"/>
          <w:sz w:val="20"/>
          <w:vertAlign w:val="subscript"/>
          <w:lang w:eastAsia="en-GB"/>
        </w:rPr>
        <w:t>1</w:t>
      </w:r>
      <w:proofErr w:type="gramStart"/>
      <w:r w:rsidRPr="00A46C8A">
        <w:rPr>
          <w:bCs/>
          <w:kern w:val="2"/>
          <w:sz w:val="20"/>
          <w:vertAlign w:val="subscript"/>
          <w:lang w:eastAsia="en-GB"/>
        </w:rPr>
        <w:t xml:space="preserve">Tx </w:t>
      </w:r>
      <w:r w:rsidRPr="00A46C8A">
        <w:rPr>
          <w:bCs/>
          <w:kern w:val="2"/>
          <w:sz w:val="20"/>
          <w:lang w:eastAsia="en-GB"/>
        </w:rPr>
        <w:t>,</w:t>
      </w:r>
      <w:proofErr w:type="gramEnd"/>
      <w:r w:rsidRPr="00A46C8A">
        <w:rPr>
          <w:bCs/>
          <w:kern w:val="2"/>
          <w:sz w:val="20"/>
          <w:lang w:eastAsia="en-GB"/>
        </w:rPr>
        <w:t xml:space="preserve"> </w:t>
      </w:r>
      <w:r w:rsidRPr="00A46C8A">
        <w:rPr>
          <w:bCs/>
          <w:kern w:val="2"/>
          <w:sz w:val="20"/>
        </w:rPr>
        <w:sym w:font="Symbol" w:char="F044"/>
      </w:r>
      <w:r w:rsidRPr="00A46C8A">
        <w:rPr>
          <w:bCs/>
          <w:kern w:val="2"/>
          <w:sz w:val="20"/>
          <w:lang w:eastAsia="en-GB"/>
        </w:rPr>
        <w:t>PC2</w:t>
      </w:r>
      <w:r w:rsidRPr="00A46C8A">
        <w:rPr>
          <w:bCs/>
          <w:kern w:val="2"/>
          <w:sz w:val="20"/>
          <w:vertAlign w:val="subscript"/>
          <w:lang w:eastAsia="en-GB"/>
        </w:rPr>
        <w:t>2Tx</w:t>
      </w:r>
      <w:r w:rsidRPr="00A46C8A">
        <w:rPr>
          <w:bCs/>
          <w:kern w:val="2"/>
          <w:sz w:val="20"/>
          <w:lang w:eastAsia="en-GB"/>
        </w:rPr>
        <w:t xml:space="preserve"> , </w:t>
      </w:r>
      <w:r w:rsidRPr="00A46C8A">
        <w:rPr>
          <w:bCs/>
          <w:kern w:val="2"/>
          <w:sz w:val="20"/>
        </w:rPr>
        <w:sym w:font="Symbol" w:char="F044"/>
      </w:r>
      <w:r w:rsidRPr="00A46C8A">
        <w:rPr>
          <w:bCs/>
          <w:kern w:val="2"/>
          <w:sz w:val="20"/>
          <w:lang w:eastAsia="en-GB"/>
        </w:rPr>
        <w:t>PC1.5</w:t>
      </w:r>
      <w:r w:rsidRPr="00A46C8A">
        <w:rPr>
          <w:bCs/>
          <w:kern w:val="2"/>
          <w:sz w:val="20"/>
          <w:vertAlign w:val="subscript"/>
          <w:lang w:eastAsia="en-GB"/>
        </w:rPr>
        <w:t xml:space="preserve"> </w:t>
      </w:r>
      <w:r w:rsidRPr="00A46C8A">
        <w:rPr>
          <w:bCs/>
          <w:kern w:val="2"/>
          <w:sz w:val="20"/>
          <w:lang w:eastAsia="en-GB"/>
        </w:rPr>
        <w:t>LUT.</w:t>
      </w:r>
    </w:p>
    <w:tbl>
      <w:tblPr>
        <w:tblStyle w:val="TableGrid"/>
        <w:tblW w:w="0" w:type="auto"/>
        <w:jc w:val="center"/>
        <w:tblLook w:val="04A0" w:firstRow="1" w:lastRow="0" w:firstColumn="1" w:lastColumn="0" w:noHBand="0" w:noVBand="1"/>
      </w:tblPr>
      <w:tblGrid>
        <w:gridCol w:w="959"/>
        <w:gridCol w:w="836"/>
        <w:gridCol w:w="836"/>
        <w:gridCol w:w="802"/>
      </w:tblGrid>
      <w:tr w:rsidR="00A46C8A" w:rsidRPr="00A46C8A" w14:paraId="6EFF8791" w14:textId="77777777" w:rsidTr="0042179D">
        <w:trPr>
          <w:jc w:val="center"/>
        </w:trPr>
        <w:tc>
          <w:tcPr>
            <w:tcW w:w="0" w:type="auto"/>
            <w:tcBorders>
              <w:top w:val="single" w:sz="12" w:space="0" w:color="auto"/>
              <w:left w:val="single" w:sz="12" w:space="0" w:color="auto"/>
              <w:bottom w:val="single" w:sz="12" w:space="0" w:color="auto"/>
            </w:tcBorders>
            <w:vAlign w:val="center"/>
          </w:tcPr>
          <w:p w14:paraId="0971C3A1"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lastRenderedPageBreak/>
              <w:t>PC3 MSD</w:t>
            </w:r>
          </w:p>
          <w:p w14:paraId="6C6A9E4C"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(dB)</w:t>
            </w:r>
          </w:p>
        </w:tc>
        <w:tc>
          <w:tcPr>
            <w:tcW w:w="0" w:type="auto"/>
            <w:tcBorders>
              <w:top w:val="single" w:sz="12" w:space="0" w:color="auto"/>
              <w:bottom w:val="single" w:sz="12" w:space="0" w:color="auto"/>
            </w:tcBorders>
            <w:vAlign w:val="center"/>
          </w:tcPr>
          <w:p w14:paraId="5147CD42" w14:textId="77777777" w:rsidR="00A46C8A" w:rsidRPr="00A46C8A" w:rsidRDefault="00A46C8A" w:rsidP="00A46C8A">
            <w:pPr>
              <w:spacing w:after="0"/>
              <w:jc w:val="center"/>
              <w:rPr>
                <w:rFonts w:asciiTheme="minorHAnsi" w:hAnsiTheme="minorHAnsi" w:cstheme="minorHAnsi"/>
                <w:sz w:val="20"/>
                <w:vertAlign w:val="subscript"/>
                <w:lang w:eastAsia="en-GB"/>
              </w:rPr>
            </w:pPr>
            <w:r w:rsidRPr="00A46C8A">
              <w:rPr>
                <w:rFonts w:asciiTheme="minorHAnsi" w:hAnsiTheme="minorHAnsi" w:cstheme="minorHAnsi"/>
                <w:sz w:val="20"/>
                <w:lang w:eastAsia="en-GB"/>
              </w:rPr>
              <w:sym w:font="Symbol" w:char="F044"/>
            </w:r>
            <w:r w:rsidRPr="00A46C8A">
              <w:rPr>
                <w:rFonts w:asciiTheme="minorHAnsi" w:hAnsiTheme="minorHAnsi" w:cstheme="minorHAnsi"/>
                <w:sz w:val="20"/>
                <w:lang w:eastAsia="en-GB"/>
              </w:rPr>
              <w:t>PC2</w:t>
            </w:r>
            <w:r w:rsidRPr="00A46C8A">
              <w:rPr>
                <w:rFonts w:asciiTheme="minorHAnsi" w:hAnsiTheme="minorHAnsi" w:cstheme="minorHAnsi"/>
                <w:sz w:val="20"/>
                <w:vertAlign w:val="subscript"/>
                <w:lang w:eastAsia="en-GB"/>
              </w:rPr>
              <w:t>1Tx</w:t>
            </w:r>
          </w:p>
          <w:p w14:paraId="4A9A3C5C"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(dB)</w:t>
            </w:r>
          </w:p>
        </w:tc>
        <w:tc>
          <w:tcPr>
            <w:tcW w:w="0" w:type="auto"/>
            <w:tcBorders>
              <w:top w:val="single" w:sz="12" w:space="0" w:color="auto"/>
              <w:bottom w:val="single" w:sz="12" w:space="0" w:color="auto"/>
            </w:tcBorders>
            <w:vAlign w:val="center"/>
          </w:tcPr>
          <w:p w14:paraId="1A0A7808" w14:textId="77777777" w:rsidR="00A46C8A" w:rsidRPr="00A46C8A" w:rsidRDefault="00A46C8A" w:rsidP="00A46C8A">
            <w:pPr>
              <w:spacing w:after="0"/>
              <w:jc w:val="center"/>
              <w:rPr>
                <w:rFonts w:asciiTheme="minorHAnsi" w:hAnsiTheme="minorHAnsi" w:cstheme="minorHAnsi"/>
                <w:sz w:val="20"/>
                <w:vertAlign w:val="subscript"/>
                <w:lang w:eastAsia="en-GB"/>
              </w:rPr>
            </w:pPr>
            <w:r w:rsidRPr="00A46C8A">
              <w:rPr>
                <w:rFonts w:asciiTheme="minorHAnsi" w:hAnsiTheme="minorHAnsi" w:cstheme="minorHAnsi"/>
                <w:sz w:val="20"/>
                <w:lang w:eastAsia="en-GB"/>
              </w:rPr>
              <w:sym w:font="Symbol" w:char="F044"/>
            </w:r>
            <w:r w:rsidRPr="00A46C8A">
              <w:rPr>
                <w:rFonts w:asciiTheme="minorHAnsi" w:hAnsiTheme="minorHAnsi" w:cstheme="minorHAnsi"/>
                <w:sz w:val="20"/>
                <w:lang w:eastAsia="en-GB"/>
              </w:rPr>
              <w:t>PC2</w:t>
            </w:r>
            <w:r w:rsidRPr="00A46C8A">
              <w:rPr>
                <w:rFonts w:asciiTheme="minorHAnsi" w:hAnsiTheme="minorHAnsi" w:cstheme="minorHAnsi"/>
                <w:sz w:val="20"/>
                <w:vertAlign w:val="subscript"/>
                <w:lang w:eastAsia="en-GB"/>
              </w:rPr>
              <w:t>2Tx</w:t>
            </w:r>
          </w:p>
          <w:p w14:paraId="1EAB7FE2"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(dB)</w:t>
            </w:r>
          </w:p>
        </w:tc>
        <w:tc>
          <w:tcPr>
            <w:tcW w:w="0" w:type="auto"/>
            <w:tcBorders>
              <w:top w:val="single" w:sz="12" w:space="0" w:color="auto"/>
              <w:bottom w:val="single" w:sz="12" w:space="0" w:color="auto"/>
              <w:right w:val="single" w:sz="12" w:space="0" w:color="auto"/>
            </w:tcBorders>
            <w:vAlign w:val="center"/>
          </w:tcPr>
          <w:p w14:paraId="3455C4B0"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sym w:font="Symbol" w:char="F044"/>
            </w:r>
            <w:r w:rsidRPr="00A46C8A">
              <w:rPr>
                <w:rFonts w:asciiTheme="minorHAnsi" w:hAnsiTheme="minorHAnsi" w:cstheme="minorHAnsi"/>
                <w:sz w:val="20"/>
                <w:lang w:eastAsia="en-GB"/>
              </w:rPr>
              <w:t>PC1.5</w:t>
            </w:r>
          </w:p>
          <w:p w14:paraId="596767A2"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(dB)</w:t>
            </w:r>
          </w:p>
        </w:tc>
      </w:tr>
      <w:tr w:rsidR="00A46C8A" w:rsidRPr="00A46C8A" w14:paraId="23283438" w14:textId="77777777" w:rsidTr="0042179D">
        <w:trPr>
          <w:jc w:val="center"/>
        </w:trPr>
        <w:tc>
          <w:tcPr>
            <w:tcW w:w="0" w:type="auto"/>
            <w:tcBorders>
              <w:top w:val="single" w:sz="12" w:space="0" w:color="auto"/>
              <w:left w:val="single" w:sz="12" w:space="0" w:color="auto"/>
            </w:tcBorders>
            <w:vAlign w:val="center"/>
          </w:tcPr>
          <w:p w14:paraId="5C00BE16"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&lt;1</w:t>
            </w:r>
          </w:p>
        </w:tc>
        <w:tc>
          <w:tcPr>
            <w:tcW w:w="0" w:type="auto"/>
            <w:tcBorders>
              <w:top w:val="single" w:sz="12" w:space="0" w:color="auto"/>
            </w:tcBorders>
            <w:vAlign w:val="center"/>
          </w:tcPr>
          <w:p w14:paraId="238927F0"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0.6</w:t>
            </w:r>
          </w:p>
        </w:tc>
        <w:tc>
          <w:tcPr>
            <w:tcW w:w="0" w:type="auto"/>
            <w:tcBorders>
              <w:top w:val="single" w:sz="12" w:space="0" w:color="auto"/>
            </w:tcBorders>
            <w:vAlign w:val="center"/>
          </w:tcPr>
          <w:p w14:paraId="5FCDE2C6" w14:textId="77777777" w:rsidR="00A46C8A" w:rsidRPr="00A46C8A" w:rsidRDefault="00A46C8A" w:rsidP="00A46C8A">
            <w:pPr>
              <w:tabs>
                <w:tab w:val="left" w:pos="538"/>
              </w:tabs>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0.9</w:t>
            </w:r>
          </w:p>
        </w:tc>
        <w:tc>
          <w:tcPr>
            <w:tcW w:w="0" w:type="auto"/>
            <w:tcBorders>
              <w:top w:val="single" w:sz="12" w:space="0" w:color="auto"/>
              <w:right w:val="single" w:sz="12" w:space="0" w:color="auto"/>
            </w:tcBorders>
            <w:vAlign w:val="center"/>
          </w:tcPr>
          <w:p w14:paraId="7881B5CB"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2.0</w:t>
            </w:r>
          </w:p>
        </w:tc>
      </w:tr>
      <w:tr w:rsidR="00A46C8A" w:rsidRPr="00A46C8A" w14:paraId="19795FE6" w14:textId="77777777" w:rsidTr="0042179D">
        <w:trPr>
          <w:jc w:val="center"/>
        </w:trPr>
        <w:tc>
          <w:tcPr>
            <w:tcW w:w="0" w:type="auto"/>
            <w:tcBorders>
              <w:left w:val="single" w:sz="12" w:space="0" w:color="auto"/>
            </w:tcBorders>
            <w:vAlign w:val="center"/>
          </w:tcPr>
          <w:p w14:paraId="58680B67"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1</w:t>
            </w:r>
          </w:p>
        </w:tc>
        <w:tc>
          <w:tcPr>
            <w:tcW w:w="0" w:type="auto"/>
            <w:vAlign w:val="bottom"/>
          </w:tcPr>
          <w:p w14:paraId="2A8A5E10"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0.8</w:t>
            </w:r>
          </w:p>
        </w:tc>
        <w:tc>
          <w:tcPr>
            <w:tcW w:w="0" w:type="auto"/>
            <w:vAlign w:val="bottom"/>
          </w:tcPr>
          <w:p w14:paraId="19475804"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1.2</w:t>
            </w:r>
          </w:p>
        </w:tc>
        <w:tc>
          <w:tcPr>
            <w:tcW w:w="0" w:type="auto"/>
            <w:tcBorders>
              <w:right w:val="single" w:sz="12" w:space="0" w:color="auto"/>
            </w:tcBorders>
            <w:vAlign w:val="bottom"/>
          </w:tcPr>
          <w:p w14:paraId="610860E0"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2.7</w:t>
            </w:r>
          </w:p>
        </w:tc>
      </w:tr>
      <w:tr w:rsidR="00A46C8A" w:rsidRPr="00A46C8A" w14:paraId="2A851D1A" w14:textId="77777777" w:rsidTr="0042179D">
        <w:trPr>
          <w:jc w:val="center"/>
        </w:trPr>
        <w:tc>
          <w:tcPr>
            <w:tcW w:w="0" w:type="auto"/>
            <w:tcBorders>
              <w:left w:val="single" w:sz="12" w:space="0" w:color="auto"/>
            </w:tcBorders>
            <w:vAlign w:val="center"/>
          </w:tcPr>
          <w:p w14:paraId="6060AAF5"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2</w:t>
            </w:r>
          </w:p>
        </w:tc>
        <w:tc>
          <w:tcPr>
            <w:tcW w:w="0" w:type="auto"/>
            <w:vAlign w:val="bottom"/>
          </w:tcPr>
          <w:p w14:paraId="778B5FE1"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1.2</w:t>
            </w:r>
          </w:p>
        </w:tc>
        <w:tc>
          <w:tcPr>
            <w:tcW w:w="0" w:type="auto"/>
            <w:vAlign w:val="bottom"/>
          </w:tcPr>
          <w:p w14:paraId="38EA23A3"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2.1</w:t>
            </w:r>
          </w:p>
        </w:tc>
        <w:tc>
          <w:tcPr>
            <w:tcW w:w="0" w:type="auto"/>
            <w:tcBorders>
              <w:right w:val="single" w:sz="12" w:space="0" w:color="auto"/>
            </w:tcBorders>
            <w:vAlign w:val="bottom"/>
          </w:tcPr>
          <w:p w14:paraId="09660972"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4.1</w:t>
            </w:r>
          </w:p>
        </w:tc>
      </w:tr>
      <w:tr w:rsidR="00A46C8A" w:rsidRPr="00A46C8A" w14:paraId="2ECC4F17" w14:textId="77777777" w:rsidTr="0042179D">
        <w:trPr>
          <w:jc w:val="center"/>
        </w:trPr>
        <w:tc>
          <w:tcPr>
            <w:tcW w:w="0" w:type="auto"/>
            <w:tcBorders>
              <w:left w:val="single" w:sz="12" w:space="0" w:color="auto"/>
            </w:tcBorders>
            <w:vAlign w:val="center"/>
          </w:tcPr>
          <w:p w14:paraId="4FBA3B3F"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3</w:t>
            </w:r>
          </w:p>
        </w:tc>
        <w:tc>
          <w:tcPr>
            <w:tcW w:w="0" w:type="auto"/>
            <w:vAlign w:val="bottom"/>
          </w:tcPr>
          <w:p w14:paraId="367FC0B2"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1.6</w:t>
            </w:r>
          </w:p>
        </w:tc>
        <w:tc>
          <w:tcPr>
            <w:tcW w:w="0" w:type="auto"/>
            <w:vAlign w:val="bottom"/>
          </w:tcPr>
          <w:p w14:paraId="5E103A37"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2.7</w:t>
            </w:r>
          </w:p>
        </w:tc>
        <w:tc>
          <w:tcPr>
            <w:tcW w:w="0" w:type="auto"/>
            <w:tcBorders>
              <w:right w:val="single" w:sz="12" w:space="0" w:color="auto"/>
            </w:tcBorders>
            <w:vAlign w:val="bottom"/>
          </w:tcPr>
          <w:p w14:paraId="2F9629BF"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5.1</w:t>
            </w:r>
          </w:p>
        </w:tc>
      </w:tr>
      <w:tr w:rsidR="00A46C8A" w:rsidRPr="00A46C8A" w14:paraId="58C3677D" w14:textId="77777777" w:rsidTr="0042179D">
        <w:trPr>
          <w:jc w:val="center"/>
        </w:trPr>
        <w:tc>
          <w:tcPr>
            <w:tcW w:w="0" w:type="auto"/>
            <w:tcBorders>
              <w:left w:val="single" w:sz="12" w:space="0" w:color="auto"/>
            </w:tcBorders>
            <w:vAlign w:val="center"/>
          </w:tcPr>
          <w:p w14:paraId="6F0302DD"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4</w:t>
            </w:r>
          </w:p>
        </w:tc>
        <w:tc>
          <w:tcPr>
            <w:tcW w:w="0" w:type="auto"/>
            <w:vAlign w:val="bottom"/>
          </w:tcPr>
          <w:p w14:paraId="6191CC7F"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1.8</w:t>
            </w:r>
          </w:p>
        </w:tc>
        <w:tc>
          <w:tcPr>
            <w:tcW w:w="0" w:type="auto"/>
            <w:vAlign w:val="bottom"/>
          </w:tcPr>
          <w:p w14:paraId="315F19DA"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3.3</w:t>
            </w:r>
          </w:p>
        </w:tc>
        <w:tc>
          <w:tcPr>
            <w:tcW w:w="0" w:type="auto"/>
            <w:tcBorders>
              <w:right w:val="single" w:sz="12" w:space="0" w:color="auto"/>
            </w:tcBorders>
            <w:vAlign w:val="bottom"/>
          </w:tcPr>
          <w:p w14:paraId="286F8162"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5.9</w:t>
            </w:r>
          </w:p>
        </w:tc>
      </w:tr>
      <w:tr w:rsidR="00A46C8A" w:rsidRPr="00A46C8A" w14:paraId="50E8300C" w14:textId="77777777" w:rsidTr="0042179D">
        <w:trPr>
          <w:jc w:val="center"/>
        </w:trPr>
        <w:tc>
          <w:tcPr>
            <w:tcW w:w="0" w:type="auto"/>
            <w:tcBorders>
              <w:left w:val="single" w:sz="12" w:space="0" w:color="auto"/>
            </w:tcBorders>
            <w:vAlign w:val="center"/>
          </w:tcPr>
          <w:p w14:paraId="5B660CE9"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5≤ &lt;7</w:t>
            </w:r>
          </w:p>
        </w:tc>
        <w:tc>
          <w:tcPr>
            <w:tcW w:w="0" w:type="auto"/>
            <w:vAlign w:val="bottom"/>
          </w:tcPr>
          <w:p w14:paraId="750A3310"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2.0</w:t>
            </w:r>
          </w:p>
        </w:tc>
        <w:tc>
          <w:tcPr>
            <w:tcW w:w="0" w:type="auto"/>
            <w:vAlign w:val="bottom"/>
          </w:tcPr>
          <w:p w14:paraId="2355E6A6"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4.0</w:t>
            </w:r>
          </w:p>
        </w:tc>
        <w:tc>
          <w:tcPr>
            <w:tcW w:w="0" w:type="auto"/>
            <w:tcBorders>
              <w:right w:val="single" w:sz="12" w:space="0" w:color="auto"/>
            </w:tcBorders>
            <w:vAlign w:val="bottom"/>
          </w:tcPr>
          <w:p w14:paraId="317E2F45"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7.0</w:t>
            </w:r>
          </w:p>
        </w:tc>
      </w:tr>
      <w:tr w:rsidR="00A46C8A" w:rsidRPr="00A46C8A" w14:paraId="7415F094" w14:textId="77777777" w:rsidTr="0042179D">
        <w:trPr>
          <w:jc w:val="center"/>
        </w:trPr>
        <w:tc>
          <w:tcPr>
            <w:tcW w:w="0" w:type="auto"/>
            <w:tcBorders>
              <w:left w:val="single" w:sz="12" w:space="0" w:color="auto"/>
            </w:tcBorders>
            <w:vAlign w:val="center"/>
          </w:tcPr>
          <w:p w14:paraId="76882F39"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7≤ ≤9</w:t>
            </w:r>
          </w:p>
        </w:tc>
        <w:tc>
          <w:tcPr>
            <w:tcW w:w="0" w:type="auto"/>
            <w:vAlign w:val="bottom"/>
          </w:tcPr>
          <w:p w14:paraId="61888901"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2.5</w:t>
            </w:r>
          </w:p>
        </w:tc>
        <w:tc>
          <w:tcPr>
            <w:tcW w:w="0" w:type="auto"/>
            <w:vAlign w:val="bottom"/>
          </w:tcPr>
          <w:p w14:paraId="4DFCC966"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5.0</w:t>
            </w:r>
          </w:p>
        </w:tc>
        <w:tc>
          <w:tcPr>
            <w:tcW w:w="0" w:type="auto"/>
            <w:tcBorders>
              <w:right w:val="single" w:sz="12" w:space="0" w:color="auto"/>
            </w:tcBorders>
            <w:vAlign w:val="bottom"/>
          </w:tcPr>
          <w:p w14:paraId="75C72651"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Calibri" w:hAnsi="Calibri" w:cs="Calibri"/>
                <w:color w:val="000000"/>
                <w:sz w:val="20"/>
              </w:rPr>
              <w:t>8.0</w:t>
            </w:r>
          </w:p>
        </w:tc>
      </w:tr>
      <w:tr w:rsidR="00A46C8A" w:rsidRPr="00A46C8A" w14:paraId="23E261F0" w14:textId="77777777" w:rsidTr="0042179D">
        <w:trPr>
          <w:jc w:val="center"/>
        </w:trPr>
        <w:tc>
          <w:tcPr>
            <w:tcW w:w="0" w:type="auto"/>
            <w:tcBorders>
              <w:left w:val="single" w:sz="12" w:space="0" w:color="auto"/>
              <w:bottom w:val="single" w:sz="12" w:space="0" w:color="auto"/>
            </w:tcBorders>
            <w:vAlign w:val="center"/>
          </w:tcPr>
          <w:p w14:paraId="08BB410D"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≥10</w:t>
            </w:r>
          </w:p>
        </w:tc>
        <w:tc>
          <w:tcPr>
            <w:tcW w:w="0" w:type="auto"/>
            <w:tcBorders>
              <w:bottom w:val="single" w:sz="12" w:space="0" w:color="auto"/>
            </w:tcBorders>
            <w:vAlign w:val="bottom"/>
          </w:tcPr>
          <w:p w14:paraId="12BB36C3"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color w:val="000000"/>
                <w:sz w:val="20"/>
              </w:rPr>
              <w:t>3.0</w:t>
            </w:r>
          </w:p>
        </w:tc>
        <w:tc>
          <w:tcPr>
            <w:tcW w:w="0" w:type="auto"/>
            <w:tcBorders>
              <w:bottom w:val="single" w:sz="12" w:space="0" w:color="auto"/>
            </w:tcBorders>
            <w:vAlign w:val="bottom"/>
          </w:tcPr>
          <w:p w14:paraId="3330A2AB"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6.0</w:t>
            </w:r>
          </w:p>
        </w:tc>
        <w:tc>
          <w:tcPr>
            <w:tcW w:w="0" w:type="auto"/>
            <w:tcBorders>
              <w:bottom w:val="single" w:sz="12" w:space="0" w:color="auto"/>
              <w:right w:val="single" w:sz="12" w:space="0" w:color="auto"/>
            </w:tcBorders>
            <w:vAlign w:val="bottom"/>
          </w:tcPr>
          <w:p w14:paraId="6BDD4D10" w14:textId="77777777" w:rsidR="00A46C8A" w:rsidRPr="00A46C8A" w:rsidRDefault="00A46C8A" w:rsidP="00A46C8A">
            <w:pPr>
              <w:spacing w:after="0"/>
              <w:jc w:val="center"/>
              <w:rPr>
                <w:rFonts w:asciiTheme="minorHAnsi" w:hAnsiTheme="minorHAnsi" w:cstheme="minorHAnsi"/>
                <w:sz w:val="20"/>
                <w:lang w:eastAsia="en-GB"/>
              </w:rPr>
            </w:pPr>
            <w:r w:rsidRPr="00A46C8A">
              <w:rPr>
                <w:rFonts w:asciiTheme="minorHAnsi" w:hAnsiTheme="minorHAnsi" w:cstheme="minorHAnsi"/>
                <w:sz w:val="20"/>
                <w:lang w:eastAsia="en-GB"/>
              </w:rPr>
              <w:t>9.0</w:t>
            </w:r>
          </w:p>
        </w:tc>
      </w:tr>
    </w:tbl>
    <w:p w14:paraId="3C2FF2E6" w14:textId="77777777" w:rsidR="00F829B1" w:rsidRDefault="00F829B1" w:rsidP="00522074">
      <w:pPr>
        <w:jc w:val="both"/>
        <w:rPr>
          <w:sz w:val="20"/>
          <w:szCs w:val="18"/>
        </w:rPr>
      </w:pPr>
    </w:p>
    <w:p w14:paraId="0553DE0F" w14:textId="326DDFD0" w:rsidR="00F12445" w:rsidRDefault="00F12445" w:rsidP="00522074">
      <w:pPr>
        <w:jc w:val="both"/>
        <w:rPr>
          <w:sz w:val="20"/>
          <w:szCs w:val="18"/>
        </w:rPr>
      </w:pPr>
      <w:r>
        <w:rPr>
          <w:sz w:val="20"/>
          <w:szCs w:val="18"/>
        </w:rPr>
        <w:t>However:</w:t>
      </w:r>
    </w:p>
    <w:p w14:paraId="1283EA8F" w14:textId="0A8942F9" w:rsidR="005C681A" w:rsidRDefault="00A46C8A" w:rsidP="000D1D7A">
      <w:pPr>
        <w:pStyle w:val="ListParagraph"/>
        <w:numPr>
          <w:ilvl w:val="0"/>
          <w:numId w:val="35"/>
        </w:numPr>
        <w:jc w:val="both"/>
        <w:rPr>
          <w:sz w:val="20"/>
          <w:szCs w:val="18"/>
        </w:rPr>
      </w:pPr>
      <w:r>
        <w:rPr>
          <w:sz w:val="20"/>
          <w:szCs w:val="18"/>
        </w:rPr>
        <w:t xml:space="preserve">We </w:t>
      </w:r>
      <w:r w:rsidR="00697ECB">
        <w:rPr>
          <w:sz w:val="20"/>
          <w:szCs w:val="18"/>
        </w:rPr>
        <w:t xml:space="preserve">acknowledge </w:t>
      </w:r>
      <w:r>
        <w:rPr>
          <w:sz w:val="20"/>
          <w:szCs w:val="18"/>
        </w:rPr>
        <w:t xml:space="preserve">that indeed, the </w:t>
      </w:r>
      <w:r w:rsidR="00697ECB">
        <w:rPr>
          <w:sz w:val="20"/>
          <w:szCs w:val="18"/>
        </w:rPr>
        <w:sym w:font="Symbol" w:char="F044"/>
      </w:r>
      <w:r w:rsidRPr="00A46C8A">
        <w:rPr>
          <w:sz w:val="20"/>
          <w:szCs w:val="18"/>
        </w:rPr>
        <w:t>PC1.5</w:t>
      </w:r>
      <w:r w:rsidR="00697ECB">
        <w:rPr>
          <w:sz w:val="20"/>
          <w:szCs w:val="18"/>
        </w:rPr>
        <w:t xml:space="preserve"> LUT </w:t>
      </w:r>
      <w:proofErr w:type="spellStart"/>
      <w:r w:rsidR="00697ECB">
        <w:rPr>
          <w:sz w:val="20"/>
          <w:szCs w:val="18"/>
        </w:rPr>
        <w:t>can not</w:t>
      </w:r>
      <w:proofErr w:type="spellEnd"/>
      <w:r w:rsidR="00697ECB">
        <w:rPr>
          <w:sz w:val="20"/>
          <w:szCs w:val="18"/>
        </w:rPr>
        <w:t xml:space="preserve"> yet apply to “1UL Interference</w:t>
      </w:r>
      <w:r w:rsidR="00613EEE">
        <w:rPr>
          <w:sz w:val="20"/>
          <w:szCs w:val="18"/>
        </w:rPr>
        <w:t xml:space="preserve"> MSD</w:t>
      </w:r>
      <w:r w:rsidR="00697ECB">
        <w:rPr>
          <w:sz w:val="20"/>
          <w:szCs w:val="18"/>
        </w:rPr>
        <w:t>”</w:t>
      </w:r>
      <w:r w:rsidR="00613EEE">
        <w:rPr>
          <w:sz w:val="20"/>
          <w:szCs w:val="18"/>
        </w:rPr>
        <w:t xml:space="preserve"> requirements</w:t>
      </w:r>
      <w:r w:rsidR="00697ECB">
        <w:rPr>
          <w:sz w:val="20"/>
          <w:szCs w:val="18"/>
        </w:rPr>
        <w:t xml:space="preserve"> since the HPUE configurations that may lead to PC1.5 harmonic MSD are not yet supported in Rel-18 and Rel-19. </w:t>
      </w:r>
      <w:r w:rsidR="00FA54A1">
        <w:rPr>
          <w:sz w:val="20"/>
          <w:szCs w:val="18"/>
        </w:rPr>
        <w:t>To address</w:t>
      </w:r>
      <w:r w:rsidR="00697ECB">
        <w:rPr>
          <w:sz w:val="20"/>
          <w:szCs w:val="18"/>
        </w:rPr>
        <w:t xml:space="preserve"> this issue, we propose to adopt </w:t>
      </w:r>
      <w:r w:rsidR="00613EEE">
        <w:rPr>
          <w:sz w:val="20"/>
          <w:szCs w:val="18"/>
        </w:rPr>
        <w:t xml:space="preserve">the </w:t>
      </w:r>
      <w:r w:rsidR="00613EEE">
        <w:rPr>
          <w:sz w:val="20"/>
          <w:szCs w:val="18"/>
        </w:rPr>
        <w:fldChar w:fldCharType="begin"/>
      </w:r>
      <w:r w:rsidR="00613EEE">
        <w:rPr>
          <w:sz w:val="20"/>
          <w:szCs w:val="18"/>
        </w:rPr>
        <w:instrText xml:space="preserve"> REF _Ref193893767 \h </w:instrText>
      </w:r>
      <w:r w:rsidR="00613EEE">
        <w:rPr>
          <w:sz w:val="20"/>
          <w:szCs w:val="18"/>
        </w:rPr>
      </w:r>
      <w:r w:rsidR="00613EEE">
        <w:rPr>
          <w:sz w:val="20"/>
          <w:szCs w:val="18"/>
        </w:rPr>
        <w:fldChar w:fldCharType="separate"/>
      </w:r>
      <w:r w:rsidR="00613EEE" w:rsidRPr="00697ECB">
        <w:rPr>
          <w:b/>
          <w:kern w:val="2"/>
          <w:sz w:val="20"/>
        </w:rPr>
        <w:t xml:space="preserve">Table </w:t>
      </w:r>
      <w:r w:rsidR="00613EEE">
        <w:rPr>
          <w:b/>
          <w:noProof/>
          <w:kern w:val="2"/>
          <w:sz w:val="20"/>
        </w:rPr>
        <w:t>2</w:t>
      </w:r>
      <w:r w:rsidR="00613EEE">
        <w:rPr>
          <w:sz w:val="20"/>
          <w:szCs w:val="18"/>
        </w:rPr>
        <w:fldChar w:fldCharType="end"/>
      </w:r>
      <w:r w:rsidR="00613EEE">
        <w:rPr>
          <w:sz w:val="20"/>
          <w:szCs w:val="18"/>
        </w:rPr>
        <w:t xml:space="preserve"> </w:t>
      </w:r>
      <w:r w:rsidR="00697ECB">
        <w:rPr>
          <w:sz w:val="20"/>
          <w:szCs w:val="18"/>
        </w:rPr>
        <w:t>companion LUT that maps the 1UL MSD type to the HPUE LUT</w:t>
      </w:r>
      <w:r w:rsidR="00613EEE">
        <w:rPr>
          <w:sz w:val="20"/>
          <w:szCs w:val="18"/>
        </w:rPr>
        <w:t>.</w:t>
      </w:r>
      <w:r w:rsidR="00566CD2">
        <w:rPr>
          <w:sz w:val="20"/>
          <w:szCs w:val="18"/>
        </w:rPr>
        <w:t xml:space="preserve"> It should be noted that such companion LUT may also become useful to accommodate future “1UL” HPUE valid configurations.</w:t>
      </w:r>
    </w:p>
    <w:p w14:paraId="782C3B65" w14:textId="0E8AAE84" w:rsidR="00697ECB" w:rsidRDefault="00697ECB" w:rsidP="00697ECB">
      <w:pPr>
        <w:spacing w:before="120" w:after="120"/>
        <w:jc w:val="center"/>
        <w:rPr>
          <w:sz w:val="20"/>
          <w:szCs w:val="18"/>
        </w:rPr>
      </w:pPr>
      <w:bookmarkStart w:id="8" w:name="_Ref193893767"/>
      <w:r w:rsidRPr="00697ECB">
        <w:rPr>
          <w:b/>
          <w:kern w:val="2"/>
          <w:sz w:val="20"/>
        </w:rPr>
        <w:t xml:space="preserve">Table </w:t>
      </w:r>
      <w:r w:rsidRPr="00697ECB">
        <w:rPr>
          <w:b/>
          <w:kern w:val="2"/>
          <w:sz w:val="20"/>
        </w:rPr>
        <w:fldChar w:fldCharType="begin"/>
      </w:r>
      <w:r w:rsidRPr="00697ECB">
        <w:rPr>
          <w:b/>
          <w:kern w:val="2"/>
          <w:sz w:val="20"/>
        </w:rPr>
        <w:instrText xml:space="preserve"> SEQ Table \* ARABIC </w:instrText>
      </w:r>
      <w:r w:rsidRPr="00697ECB">
        <w:rPr>
          <w:b/>
          <w:kern w:val="2"/>
          <w:sz w:val="20"/>
        </w:rPr>
        <w:fldChar w:fldCharType="separate"/>
      </w:r>
      <w:r>
        <w:rPr>
          <w:b/>
          <w:noProof/>
          <w:kern w:val="2"/>
          <w:sz w:val="20"/>
        </w:rPr>
        <w:t>2</w:t>
      </w:r>
      <w:r w:rsidRPr="00697ECB">
        <w:rPr>
          <w:b/>
          <w:kern w:val="2"/>
          <w:sz w:val="20"/>
        </w:rPr>
        <w:fldChar w:fldCharType="end"/>
      </w:r>
      <w:bookmarkEnd w:id="8"/>
      <w:r w:rsidRPr="00697ECB">
        <w:rPr>
          <w:bCs/>
          <w:kern w:val="2"/>
          <w:sz w:val="20"/>
        </w:rPr>
        <w:t xml:space="preserve">: </w:t>
      </w:r>
      <w:r>
        <w:rPr>
          <w:bCs/>
          <w:kern w:val="2"/>
          <w:sz w:val="20"/>
        </w:rPr>
        <w:t xml:space="preserve">Companion LUT mapping 1UL MSD type to 1UL HPUE </w:t>
      </w:r>
      <w:r>
        <w:rPr>
          <w:bCs/>
          <w:kern w:val="2"/>
          <w:sz w:val="20"/>
        </w:rPr>
        <w:sym w:font="Symbol" w:char="F044"/>
      </w:r>
      <w:proofErr w:type="spellStart"/>
      <w:r>
        <w:rPr>
          <w:bCs/>
          <w:kern w:val="2"/>
          <w:sz w:val="20"/>
        </w:rPr>
        <w:t>PCx</w:t>
      </w:r>
      <w:proofErr w:type="spellEnd"/>
      <w:r>
        <w:rPr>
          <w:bCs/>
          <w:kern w:val="2"/>
          <w:sz w:val="20"/>
        </w:rPr>
        <w:t xml:space="preserve"> LUT</w:t>
      </w:r>
    </w:p>
    <w:tbl>
      <w:tblPr>
        <w:tblW w:w="0" w:type="auto"/>
        <w:jc w:val="center"/>
        <w:tblLayout w:type="fixed"/>
        <w:tblCellMar>
          <w:left w:w="0" w:type="dxa"/>
          <w:right w:w="0" w:type="dxa"/>
        </w:tblCellMar>
        <w:tblLook w:val="0600" w:firstRow="0" w:lastRow="0" w:firstColumn="0" w:lastColumn="0" w:noHBand="1" w:noVBand="1"/>
      </w:tblPr>
      <w:tblGrid>
        <w:gridCol w:w="552"/>
        <w:gridCol w:w="1789"/>
        <w:gridCol w:w="1129"/>
        <w:gridCol w:w="1276"/>
        <w:gridCol w:w="1281"/>
      </w:tblGrid>
      <w:tr w:rsidR="00C96A95" w:rsidRPr="00C96A95" w14:paraId="4B11EBBB" w14:textId="77777777" w:rsidTr="009568C7">
        <w:trPr>
          <w:trHeight w:val="224"/>
          <w:jc w:val="center"/>
        </w:trPr>
        <w:tc>
          <w:tcPr>
            <w:tcW w:w="2341" w:type="dxa"/>
            <w:gridSpan w:val="2"/>
            <w:vMerge w:val="restart"/>
            <w:tcBorders>
              <w:top w:val="single" w:sz="12" w:space="0" w:color="auto"/>
              <w:left w:val="single" w:sz="12" w:space="0" w:color="auto"/>
              <w:right w:val="single" w:sz="8" w:space="0" w:color="434244"/>
            </w:tcBorders>
            <w:shd w:val="clear" w:color="auto" w:fill="E1F0FF"/>
            <w:vAlign w:val="center"/>
          </w:tcPr>
          <w:p w14:paraId="7D9EFAAE" w14:textId="0861F8B7" w:rsidR="00C96A95" w:rsidRPr="00C96A95" w:rsidRDefault="00C96A95" w:rsidP="00C96A95">
            <w:pPr>
              <w:jc w:val="center"/>
              <w:rPr>
                <w:rFonts w:asciiTheme="minorHAnsi" w:eastAsia="MS Mincho" w:hAnsiTheme="minorHAnsi" w:cstheme="minorHAnsi"/>
                <w:b/>
                <w:bCs/>
                <w:sz w:val="20"/>
                <w:szCs w:val="18"/>
              </w:rPr>
            </w:pPr>
            <w:r w:rsidRPr="00C96A95">
              <w:rPr>
                <w:rFonts w:asciiTheme="minorHAnsi" w:eastAsia="MS Mincho" w:hAnsiTheme="minorHAnsi" w:cstheme="minorHAnsi"/>
                <w:b/>
                <w:bCs/>
                <w:sz w:val="20"/>
                <w:szCs w:val="18"/>
              </w:rPr>
              <w:t>MSD type</w:t>
            </w:r>
          </w:p>
        </w:tc>
        <w:tc>
          <w:tcPr>
            <w:tcW w:w="3686" w:type="dxa"/>
            <w:gridSpan w:val="3"/>
            <w:tcBorders>
              <w:top w:val="single" w:sz="12" w:space="0" w:color="auto"/>
              <w:left w:val="single" w:sz="8" w:space="0" w:color="434244"/>
              <w:bottom w:val="single" w:sz="8" w:space="0" w:color="434244"/>
              <w:right w:val="single" w:sz="12" w:space="0" w:color="auto"/>
            </w:tcBorders>
            <w:shd w:val="clear" w:color="auto" w:fill="E1F0FF"/>
            <w:tcMar>
              <w:top w:w="15" w:type="dxa"/>
              <w:left w:w="15" w:type="dxa"/>
              <w:bottom w:w="0" w:type="dxa"/>
              <w:right w:w="15" w:type="dxa"/>
            </w:tcMar>
            <w:vAlign w:val="center"/>
          </w:tcPr>
          <w:p w14:paraId="7D373C51" w14:textId="43BF8B5D" w:rsidR="00C96A95" w:rsidRPr="00C96A95" w:rsidRDefault="00C96A95" w:rsidP="00C96A95">
            <w:pPr>
              <w:jc w:val="center"/>
              <w:rPr>
                <w:rFonts w:asciiTheme="minorHAnsi" w:eastAsia="MS Mincho" w:hAnsiTheme="minorHAnsi" w:cstheme="minorHAnsi"/>
                <w:b/>
                <w:bCs/>
                <w:sz w:val="20"/>
                <w:szCs w:val="18"/>
              </w:rPr>
            </w:pPr>
            <w:r w:rsidRPr="00C96A95">
              <w:rPr>
                <w:rFonts w:asciiTheme="minorHAnsi" w:eastAsia="MS Mincho" w:hAnsiTheme="minorHAnsi" w:cstheme="minorHAnsi"/>
                <w:b/>
                <w:bCs/>
                <w:sz w:val="20"/>
                <w:szCs w:val="18"/>
              </w:rPr>
              <w:sym w:font="Symbol" w:char="F044"/>
            </w:r>
            <w:proofErr w:type="spellStart"/>
            <w:r w:rsidRPr="00C96A95">
              <w:rPr>
                <w:rFonts w:asciiTheme="minorHAnsi" w:eastAsia="MS Mincho" w:hAnsiTheme="minorHAnsi" w:cstheme="minorHAnsi"/>
                <w:b/>
                <w:bCs/>
                <w:sz w:val="20"/>
                <w:szCs w:val="18"/>
              </w:rPr>
              <w:t>MSD</w:t>
            </w:r>
            <w:r w:rsidRPr="00C96A95">
              <w:rPr>
                <w:rFonts w:asciiTheme="minorHAnsi" w:eastAsia="MS Mincho" w:hAnsiTheme="minorHAnsi" w:cstheme="minorHAnsi"/>
                <w:b/>
                <w:bCs/>
                <w:sz w:val="20"/>
                <w:szCs w:val="18"/>
                <w:vertAlign w:val="subscript"/>
              </w:rPr>
              <w:t>max</w:t>
            </w:r>
            <w:proofErr w:type="spellEnd"/>
            <w:r w:rsidRPr="00C96A95">
              <w:rPr>
                <w:rFonts w:asciiTheme="minorHAnsi" w:eastAsia="MS Mincho" w:hAnsiTheme="minorHAnsi" w:cstheme="minorHAnsi"/>
                <w:b/>
                <w:bCs/>
                <w:sz w:val="20"/>
                <w:szCs w:val="18"/>
                <w:vertAlign w:val="subscript"/>
              </w:rPr>
              <w:t xml:space="preserve"> </w:t>
            </w:r>
            <w:r w:rsidRPr="00C96A95">
              <w:rPr>
                <w:rFonts w:asciiTheme="minorHAnsi" w:eastAsia="MS Mincho" w:hAnsiTheme="minorHAnsi" w:cstheme="minorHAnsi"/>
                <w:b/>
                <w:bCs/>
                <w:sz w:val="20"/>
                <w:szCs w:val="18"/>
              </w:rPr>
              <w:t>(dB)</w:t>
            </w:r>
          </w:p>
        </w:tc>
      </w:tr>
      <w:tr w:rsidR="00C96A95" w:rsidRPr="00C96A95" w14:paraId="523EEAEF" w14:textId="77777777" w:rsidTr="009568C7">
        <w:trPr>
          <w:trHeight w:val="224"/>
          <w:jc w:val="center"/>
        </w:trPr>
        <w:tc>
          <w:tcPr>
            <w:tcW w:w="2341" w:type="dxa"/>
            <w:gridSpan w:val="2"/>
            <w:vMerge/>
            <w:tcBorders>
              <w:left w:val="single" w:sz="12" w:space="0" w:color="auto"/>
              <w:bottom w:val="single" w:sz="8" w:space="0" w:color="auto"/>
              <w:right w:val="single" w:sz="8" w:space="0" w:color="434244"/>
            </w:tcBorders>
            <w:shd w:val="clear" w:color="auto" w:fill="E1F0FF"/>
            <w:vAlign w:val="center"/>
            <w:hideMark/>
          </w:tcPr>
          <w:p w14:paraId="5D2BD307" w14:textId="5EBCB469" w:rsidR="00C96A95" w:rsidRPr="00697ECB" w:rsidRDefault="00C96A95" w:rsidP="00C96A95">
            <w:pPr>
              <w:jc w:val="center"/>
              <w:rPr>
                <w:rFonts w:asciiTheme="minorHAnsi" w:eastAsia="MS Mincho" w:hAnsiTheme="minorHAnsi" w:cstheme="minorHAnsi"/>
                <w:b/>
                <w:bCs/>
                <w:sz w:val="20"/>
                <w:szCs w:val="18"/>
              </w:rPr>
            </w:pPr>
          </w:p>
        </w:tc>
        <w:tc>
          <w:tcPr>
            <w:tcW w:w="1129" w:type="dxa"/>
            <w:tcBorders>
              <w:top w:val="single" w:sz="8" w:space="0" w:color="434244"/>
              <w:left w:val="single" w:sz="8" w:space="0" w:color="434244"/>
              <w:bottom w:val="single" w:sz="8" w:space="0" w:color="auto"/>
              <w:right w:val="single" w:sz="8" w:space="0" w:color="434244"/>
            </w:tcBorders>
            <w:shd w:val="clear" w:color="auto" w:fill="E1F0FF"/>
            <w:tcMar>
              <w:top w:w="15" w:type="dxa"/>
              <w:left w:w="15" w:type="dxa"/>
              <w:bottom w:w="0" w:type="dxa"/>
              <w:right w:w="15" w:type="dxa"/>
            </w:tcMar>
            <w:vAlign w:val="center"/>
            <w:hideMark/>
          </w:tcPr>
          <w:p w14:paraId="754BADC0" w14:textId="77777777" w:rsidR="00C96A95" w:rsidRPr="00697ECB" w:rsidRDefault="00C96A95"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3</w:t>
            </w:r>
          </w:p>
        </w:tc>
        <w:tc>
          <w:tcPr>
            <w:tcW w:w="1276" w:type="dxa"/>
            <w:tcBorders>
              <w:top w:val="single" w:sz="8" w:space="0" w:color="434244"/>
              <w:left w:val="single" w:sz="8" w:space="0" w:color="434244"/>
              <w:bottom w:val="single" w:sz="8" w:space="0" w:color="auto"/>
              <w:right w:val="single" w:sz="8" w:space="0" w:color="434244"/>
            </w:tcBorders>
            <w:shd w:val="clear" w:color="auto" w:fill="E1F0FF"/>
            <w:tcMar>
              <w:top w:w="15" w:type="dxa"/>
              <w:left w:w="15" w:type="dxa"/>
              <w:bottom w:w="0" w:type="dxa"/>
              <w:right w:w="15" w:type="dxa"/>
            </w:tcMar>
            <w:vAlign w:val="center"/>
            <w:hideMark/>
          </w:tcPr>
          <w:p w14:paraId="73558267" w14:textId="77777777" w:rsidR="00C96A95" w:rsidRPr="00697ECB" w:rsidRDefault="00C96A95"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6</w:t>
            </w:r>
          </w:p>
        </w:tc>
        <w:tc>
          <w:tcPr>
            <w:tcW w:w="1281" w:type="dxa"/>
            <w:tcBorders>
              <w:top w:val="single" w:sz="8" w:space="0" w:color="434244"/>
              <w:left w:val="single" w:sz="8" w:space="0" w:color="434244"/>
              <w:bottom w:val="single" w:sz="8" w:space="0" w:color="auto"/>
              <w:right w:val="single" w:sz="12" w:space="0" w:color="auto"/>
            </w:tcBorders>
            <w:shd w:val="clear" w:color="auto" w:fill="E1F0FF"/>
            <w:tcMar>
              <w:top w:w="15" w:type="dxa"/>
              <w:left w:w="15" w:type="dxa"/>
              <w:bottom w:w="0" w:type="dxa"/>
              <w:right w:w="15" w:type="dxa"/>
            </w:tcMar>
            <w:vAlign w:val="center"/>
            <w:hideMark/>
          </w:tcPr>
          <w:p w14:paraId="327899BD" w14:textId="77777777" w:rsidR="00C96A95" w:rsidRPr="00697ECB" w:rsidRDefault="00C96A95"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rPr>
              <w:t>9</w:t>
            </w:r>
          </w:p>
        </w:tc>
      </w:tr>
      <w:tr w:rsidR="00DC0E20" w:rsidRPr="00C96A95" w14:paraId="0E47E38D" w14:textId="77777777" w:rsidTr="009568C7">
        <w:trPr>
          <w:trHeight w:val="174"/>
          <w:jc w:val="center"/>
        </w:trPr>
        <w:tc>
          <w:tcPr>
            <w:tcW w:w="552" w:type="dxa"/>
            <w:vMerge w:val="restart"/>
            <w:tcBorders>
              <w:top w:val="single" w:sz="8" w:space="0" w:color="auto"/>
              <w:left w:val="single" w:sz="12" w:space="0" w:color="auto"/>
              <w:bottom w:val="single" w:sz="8" w:space="0" w:color="434244"/>
              <w:right w:val="single" w:sz="4" w:space="0" w:color="auto"/>
            </w:tcBorders>
            <w:shd w:val="clear" w:color="auto" w:fill="E1F0FF"/>
            <w:tcMar>
              <w:top w:w="15" w:type="dxa"/>
              <w:left w:w="15" w:type="dxa"/>
              <w:bottom w:w="0" w:type="dxa"/>
              <w:right w:w="15" w:type="dxa"/>
            </w:tcMar>
            <w:vAlign w:val="center"/>
            <w:hideMark/>
          </w:tcPr>
          <w:p w14:paraId="52C7B50E" w14:textId="77777777" w:rsidR="00DC0E20" w:rsidRPr="00697ECB" w:rsidRDefault="00DC0E20" w:rsidP="00CD6654">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1UL</w:t>
            </w:r>
          </w:p>
        </w:tc>
        <w:tc>
          <w:tcPr>
            <w:tcW w:w="1789" w:type="dxa"/>
            <w:tcBorders>
              <w:top w:val="single" w:sz="8" w:space="0" w:color="auto"/>
              <w:left w:val="single" w:sz="4" w:space="0" w:color="auto"/>
              <w:bottom w:val="single" w:sz="8" w:space="0" w:color="434244"/>
              <w:right w:val="single" w:sz="8" w:space="0" w:color="434244"/>
            </w:tcBorders>
            <w:shd w:val="clear" w:color="auto" w:fill="E1F0FF"/>
            <w:tcMar>
              <w:top w:w="15" w:type="dxa"/>
              <w:left w:w="15" w:type="dxa"/>
              <w:bottom w:w="0" w:type="dxa"/>
              <w:right w:w="15" w:type="dxa"/>
            </w:tcMar>
            <w:vAlign w:val="center"/>
            <w:hideMark/>
          </w:tcPr>
          <w:p w14:paraId="5279B8F2" w14:textId="77777777" w:rsidR="00DC0E20" w:rsidRPr="00697ECB" w:rsidRDefault="00DC0E20" w:rsidP="009568C7">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UL harmonic</w:t>
            </w:r>
          </w:p>
        </w:tc>
        <w:tc>
          <w:tcPr>
            <w:tcW w:w="1129" w:type="dxa"/>
            <w:tcBorders>
              <w:top w:val="single" w:sz="8" w:space="0" w:color="auto"/>
              <w:left w:val="single" w:sz="8" w:space="0" w:color="434244"/>
              <w:bottom w:val="single" w:sz="8" w:space="0" w:color="434244"/>
              <w:right w:val="single" w:sz="8" w:space="0" w:color="434244"/>
            </w:tcBorders>
            <w:shd w:val="clear" w:color="auto" w:fill="auto"/>
            <w:tcMar>
              <w:top w:w="15" w:type="dxa"/>
              <w:left w:w="15" w:type="dxa"/>
              <w:bottom w:w="0" w:type="dxa"/>
              <w:right w:w="15" w:type="dxa"/>
            </w:tcMar>
            <w:vAlign w:val="center"/>
            <w:hideMark/>
          </w:tcPr>
          <w:p w14:paraId="22B8F41B" w14:textId="77777777" w:rsidR="00DC0E20" w:rsidRPr="00697ECB" w:rsidRDefault="00DC0E20" w:rsidP="009568C7">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 1Tx</w:t>
            </w:r>
          </w:p>
        </w:tc>
        <w:tc>
          <w:tcPr>
            <w:tcW w:w="1276" w:type="dxa"/>
            <w:tcBorders>
              <w:top w:val="single" w:sz="8" w:space="0" w:color="auto"/>
              <w:left w:val="single" w:sz="8" w:space="0" w:color="434244"/>
              <w:bottom w:val="single" w:sz="8" w:space="0" w:color="434244"/>
              <w:right w:val="single" w:sz="8" w:space="0" w:color="434244"/>
            </w:tcBorders>
            <w:shd w:val="clear" w:color="auto" w:fill="auto"/>
            <w:tcMar>
              <w:top w:w="15" w:type="dxa"/>
              <w:left w:w="15" w:type="dxa"/>
              <w:bottom w:w="0" w:type="dxa"/>
              <w:right w:w="15" w:type="dxa"/>
            </w:tcMar>
            <w:vAlign w:val="center"/>
            <w:hideMark/>
          </w:tcPr>
          <w:p w14:paraId="2C7981A2" w14:textId="77777777" w:rsidR="00DC0E20" w:rsidRPr="00697ECB" w:rsidRDefault="00DC0E20" w:rsidP="009568C7">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 2Tx</w:t>
            </w:r>
          </w:p>
        </w:tc>
        <w:tc>
          <w:tcPr>
            <w:tcW w:w="1281" w:type="dxa"/>
            <w:tcBorders>
              <w:top w:val="single" w:sz="8" w:space="0" w:color="auto"/>
              <w:left w:val="single" w:sz="8" w:space="0" w:color="434244"/>
              <w:bottom w:val="single" w:sz="8" w:space="0" w:color="434244"/>
              <w:right w:val="single" w:sz="12" w:space="0" w:color="auto"/>
            </w:tcBorders>
            <w:shd w:val="clear" w:color="auto" w:fill="auto"/>
            <w:tcMar>
              <w:top w:w="15" w:type="dxa"/>
              <w:left w:w="15" w:type="dxa"/>
              <w:bottom w:w="0" w:type="dxa"/>
              <w:right w:w="15" w:type="dxa"/>
            </w:tcMar>
            <w:vAlign w:val="center"/>
            <w:hideMark/>
          </w:tcPr>
          <w:p w14:paraId="4C6EE4D0" w14:textId="4D99FC8D" w:rsidR="00DC0E20" w:rsidRPr="00697ECB" w:rsidRDefault="00C96A95" w:rsidP="009568C7">
            <w:pPr>
              <w:jc w:val="center"/>
              <w:rPr>
                <w:rFonts w:asciiTheme="minorHAnsi" w:eastAsia="MS Mincho" w:hAnsiTheme="minorHAnsi" w:cstheme="minorHAnsi"/>
                <w:sz w:val="20"/>
                <w:szCs w:val="18"/>
              </w:rPr>
            </w:pPr>
            <w:r>
              <w:rPr>
                <w:rFonts w:asciiTheme="minorHAnsi" w:eastAsia="MS Mincho" w:hAnsiTheme="minorHAnsi" w:cstheme="minorHAnsi"/>
                <w:sz w:val="20"/>
                <w:szCs w:val="18"/>
              </w:rPr>
              <w:t>[PC1.5 2Tx]</w:t>
            </w:r>
          </w:p>
        </w:tc>
      </w:tr>
      <w:tr w:rsidR="00DC0E20" w:rsidRPr="00C96A95" w14:paraId="11E8D4FF" w14:textId="77777777" w:rsidTr="009568C7">
        <w:trPr>
          <w:trHeight w:val="266"/>
          <w:jc w:val="center"/>
        </w:trPr>
        <w:tc>
          <w:tcPr>
            <w:tcW w:w="552" w:type="dxa"/>
            <w:vMerge/>
            <w:tcBorders>
              <w:top w:val="single" w:sz="8" w:space="0" w:color="434244"/>
              <w:left w:val="single" w:sz="12" w:space="0" w:color="auto"/>
              <w:bottom w:val="single" w:sz="8" w:space="0" w:color="434244"/>
              <w:right w:val="single" w:sz="4" w:space="0" w:color="auto"/>
            </w:tcBorders>
            <w:vAlign w:val="center"/>
            <w:hideMark/>
          </w:tcPr>
          <w:p w14:paraId="76F155E3" w14:textId="77777777" w:rsidR="00DC0E20" w:rsidRPr="00697ECB" w:rsidRDefault="00DC0E20" w:rsidP="00C96A95">
            <w:pPr>
              <w:jc w:val="both"/>
              <w:rPr>
                <w:rFonts w:asciiTheme="minorHAnsi" w:eastAsia="MS Mincho" w:hAnsiTheme="minorHAnsi" w:cstheme="minorHAnsi"/>
                <w:sz w:val="20"/>
                <w:szCs w:val="18"/>
              </w:rPr>
            </w:pPr>
          </w:p>
        </w:tc>
        <w:tc>
          <w:tcPr>
            <w:tcW w:w="1789" w:type="dxa"/>
            <w:tcBorders>
              <w:top w:val="single" w:sz="8" w:space="0" w:color="434244"/>
              <w:left w:val="single" w:sz="4" w:space="0" w:color="auto"/>
              <w:bottom w:val="single" w:sz="8" w:space="0" w:color="434244"/>
              <w:right w:val="single" w:sz="8" w:space="0" w:color="434244"/>
            </w:tcBorders>
            <w:shd w:val="clear" w:color="auto" w:fill="E1F0FF"/>
            <w:tcMar>
              <w:top w:w="15" w:type="dxa"/>
              <w:left w:w="15" w:type="dxa"/>
              <w:bottom w:w="0" w:type="dxa"/>
              <w:right w:w="15" w:type="dxa"/>
            </w:tcMar>
            <w:vAlign w:val="center"/>
            <w:hideMark/>
          </w:tcPr>
          <w:p w14:paraId="2378D21D"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Rx mixing</w:t>
            </w:r>
          </w:p>
        </w:tc>
        <w:tc>
          <w:tcPr>
            <w:tcW w:w="1129" w:type="dxa"/>
            <w:tcBorders>
              <w:top w:val="single" w:sz="8" w:space="0" w:color="434244"/>
              <w:left w:val="single" w:sz="8" w:space="0" w:color="434244"/>
              <w:bottom w:val="single" w:sz="8" w:space="0" w:color="434244"/>
              <w:right w:val="single" w:sz="8" w:space="0" w:color="434244"/>
            </w:tcBorders>
            <w:shd w:val="clear" w:color="auto" w:fill="auto"/>
            <w:tcMar>
              <w:top w:w="15" w:type="dxa"/>
              <w:left w:w="15" w:type="dxa"/>
              <w:bottom w:w="0" w:type="dxa"/>
              <w:right w:w="15" w:type="dxa"/>
            </w:tcMar>
            <w:vAlign w:val="center"/>
            <w:hideMark/>
          </w:tcPr>
          <w:p w14:paraId="6D2164B2"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 1Tx</w:t>
            </w:r>
          </w:p>
        </w:tc>
        <w:tc>
          <w:tcPr>
            <w:tcW w:w="1276" w:type="dxa"/>
            <w:tcBorders>
              <w:top w:val="single" w:sz="8" w:space="0" w:color="434244"/>
              <w:left w:val="single" w:sz="8" w:space="0" w:color="434244"/>
              <w:bottom w:val="single" w:sz="8" w:space="0" w:color="434244"/>
              <w:right w:val="single" w:sz="8" w:space="0" w:color="434244"/>
            </w:tcBorders>
            <w:shd w:val="clear" w:color="auto" w:fill="auto"/>
            <w:tcMar>
              <w:top w:w="15" w:type="dxa"/>
              <w:left w:w="15" w:type="dxa"/>
              <w:bottom w:w="0" w:type="dxa"/>
              <w:right w:w="15" w:type="dxa"/>
            </w:tcMar>
            <w:vAlign w:val="center"/>
            <w:hideMark/>
          </w:tcPr>
          <w:p w14:paraId="3520E96A"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 2Tx</w:t>
            </w:r>
          </w:p>
        </w:tc>
        <w:tc>
          <w:tcPr>
            <w:tcW w:w="1281" w:type="dxa"/>
            <w:tcBorders>
              <w:top w:val="single" w:sz="8" w:space="0" w:color="434244"/>
              <w:left w:val="single" w:sz="8" w:space="0" w:color="434244"/>
              <w:bottom w:val="single" w:sz="8" w:space="0" w:color="434244"/>
              <w:right w:val="single" w:sz="12" w:space="0" w:color="auto"/>
            </w:tcBorders>
            <w:shd w:val="clear" w:color="auto" w:fill="auto"/>
            <w:tcMar>
              <w:top w:w="15" w:type="dxa"/>
              <w:left w:w="15" w:type="dxa"/>
              <w:bottom w:w="0" w:type="dxa"/>
              <w:right w:w="15" w:type="dxa"/>
            </w:tcMar>
            <w:vAlign w:val="center"/>
            <w:hideMark/>
          </w:tcPr>
          <w:p w14:paraId="4AA75EF3"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PC1.5 2Tx</w:t>
            </w:r>
          </w:p>
        </w:tc>
      </w:tr>
      <w:tr w:rsidR="00DC0E20" w:rsidRPr="00C96A95" w14:paraId="5C0ECEDC" w14:textId="77777777" w:rsidTr="009568C7">
        <w:trPr>
          <w:trHeight w:val="344"/>
          <w:jc w:val="center"/>
        </w:trPr>
        <w:tc>
          <w:tcPr>
            <w:tcW w:w="552" w:type="dxa"/>
            <w:vMerge/>
            <w:tcBorders>
              <w:top w:val="single" w:sz="8" w:space="0" w:color="434244"/>
              <w:left w:val="single" w:sz="12" w:space="0" w:color="auto"/>
              <w:bottom w:val="single" w:sz="12" w:space="0" w:color="auto"/>
              <w:right w:val="single" w:sz="4" w:space="0" w:color="auto"/>
            </w:tcBorders>
            <w:vAlign w:val="center"/>
            <w:hideMark/>
          </w:tcPr>
          <w:p w14:paraId="2C40032B" w14:textId="77777777" w:rsidR="00DC0E20" w:rsidRPr="00697ECB" w:rsidRDefault="00DC0E20" w:rsidP="00C96A95">
            <w:pPr>
              <w:jc w:val="both"/>
              <w:rPr>
                <w:rFonts w:asciiTheme="minorHAnsi" w:eastAsia="MS Mincho" w:hAnsiTheme="minorHAnsi" w:cstheme="minorHAnsi"/>
                <w:sz w:val="20"/>
                <w:szCs w:val="18"/>
              </w:rPr>
            </w:pPr>
          </w:p>
        </w:tc>
        <w:tc>
          <w:tcPr>
            <w:tcW w:w="1789" w:type="dxa"/>
            <w:tcBorders>
              <w:top w:val="single" w:sz="8" w:space="0" w:color="434244"/>
              <w:left w:val="single" w:sz="4" w:space="0" w:color="auto"/>
              <w:bottom w:val="single" w:sz="12" w:space="0" w:color="auto"/>
              <w:right w:val="single" w:sz="8" w:space="0" w:color="434244"/>
            </w:tcBorders>
            <w:shd w:val="clear" w:color="auto" w:fill="E1F0FF"/>
            <w:tcMar>
              <w:top w:w="15" w:type="dxa"/>
              <w:left w:w="15" w:type="dxa"/>
              <w:bottom w:w="0" w:type="dxa"/>
              <w:right w:w="15" w:type="dxa"/>
            </w:tcMar>
            <w:vAlign w:val="center"/>
            <w:hideMark/>
          </w:tcPr>
          <w:p w14:paraId="2EC65BDE"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b/>
                <w:bCs/>
                <w:sz w:val="20"/>
                <w:szCs w:val="18"/>
                <w:lang w:val="en-CA"/>
              </w:rPr>
              <w:t>Cross-band isolation</w:t>
            </w:r>
          </w:p>
        </w:tc>
        <w:tc>
          <w:tcPr>
            <w:tcW w:w="1129" w:type="dxa"/>
            <w:tcBorders>
              <w:top w:val="single" w:sz="8" w:space="0" w:color="434244"/>
              <w:left w:val="single" w:sz="8" w:space="0" w:color="434244"/>
              <w:bottom w:val="single" w:sz="12" w:space="0" w:color="auto"/>
              <w:right w:val="single" w:sz="8" w:space="0" w:color="434244"/>
            </w:tcBorders>
            <w:shd w:val="clear" w:color="auto" w:fill="auto"/>
            <w:tcMar>
              <w:top w:w="15" w:type="dxa"/>
              <w:left w:w="15" w:type="dxa"/>
              <w:bottom w:w="0" w:type="dxa"/>
              <w:right w:w="15" w:type="dxa"/>
            </w:tcMar>
            <w:vAlign w:val="center"/>
            <w:hideMark/>
          </w:tcPr>
          <w:p w14:paraId="0ABF25EC"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 1Tx</w:t>
            </w:r>
          </w:p>
        </w:tc>
        <w:tc>
          <w:tcPr>
            <w:tcW w:w="1276" w:type="dxa"/>
            <w:tcBorders>
              <w:top w:val="single" w:sz="8" w:space="0" w:color="434244"/>
              <w:left w:val="single" w:sz="8" w:space="0" w:color="434244"/>
              <w:bottom w:val="single" w:sz="12" w:space="0" w:color="auto"/>
              <w:right w:val="single" w:sz="8" w:space="0" w:color="434244"/>
            </w:tcBorders>
            <w:shd w:val="clear" w:color="auto" w:fill="auto"/>
            <w:tcMar>
              <w:top w:w="15" w:type="dxa"/>
              <w:left w:w="15" w:type="dxa"/>
              <w:bottom w:w="0" w:type="dxa"/>
              <w:right w:w="15" w:type="dxa"/>
            </w:tcMar>
            <w:vAlign w:val="center"/>
            <w:hideMark/>
          </w:tcPr>
          <w:p w14:paraId="621E9324"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PC2 2Tx</w:t>
            </w:r>
          </w:p>
        </w:tc>
        <w:tc>
          <w:tcPr>
            <w:tcW w:w="1281" w:type="dxa"/>
            <w:tcBorders>
              <w:top w:val="single" w:sz="8" w:space="0" w:color="434244"/>
              <w:left w:val="single" w:sz="8" w:space="0" w:color="434244"/>
              <w:bottom w:val="single" w:sz="12" w:space="0" w:color="auto"/>
              <w:right w:val="single" w:sz="12" w:space="0" w:color="auto"/>
            </w:tcBorders>
            <w:shd w:val="clear" w:color="auto" w:fill="auto"/>
            <w:tcMar>
              <w:top w:w="15" w:type="dxa"/>
              <w:left w:w="15" w:type="dxa"/>
              <w:bottom w:w="0" w:type="dxa"/>
              <w:right w:w="15" w:type="dxa"/>
            </w:tcMar>
            <w:vAlign w:val="center"/>
            <w:hideMark/>
          </w:tcPr>
          <w:p w14:paraId="49FFC610" w14:textId="77777777" w:rsidR="00DC0E20" w:rsidRPr="00697ECB" w:rsidRDefault="00DC0E20" w:rsidP="00C96A95">
            <w:pPr>
              <w:jc w:val="center"/>
              <w:rPr>
                <w:rFonts w:asciiTheme="minorHAnsi" w:eastAsia="MS Mincho" w:hAnsiTheme="minorHAnsi" w:cstheme="minorHAnsi"/>
                <w:sz w:val="20"/>
                <w:szCs w:val="18"/>
              </w:rPr>
            </w:pPr>
            <w:r w:rsidRPr="00697ECB">
              <w:rPr>
                <w:rFonts w:asciiTheme="minorHAnsi" w:eastAsia="MS Mincho" w:hAnsiTheme="minorHAnsi" w:cstheme="minorHAnsi"/>
                <w:sz w:val="20"/>
                <w:szCs w:val="18"/>
                <w:lang w:val="en-CA"/>
              </w:rPr>
              <w:t>PC1.5 2Tx</w:t>
            </w:r>
          </w:p>
        </w:tc>
      </w:tr>
    </w:tbl>
    <w:p w14:paraId="28DC6E98" w14:textId="77777777" w:rsidR="00697ECB" w:rsidRPr="00697ECB" w:rsidRDefault="00697ECB" w:rsidP="00697ECB">
      <w:pPr>
        <w:jc w:val="both"/>
        <w:rPr>
          <w:sz w:val="20"/>
          <w:szCs w:val="18"/>
        </w:rPr>
      </w:pPr>
    </w:p>
    <w:p w14:paraId="2021DC2C" w14:textId="6701FC65" w:rsidR="00697ECB" w:rsidRDefault="00697ECB" w:rsidP="000D1D7A">
      <w:pPr>
        <w:pStyle w:val="ListParagraph"/>
        <w:numPr>
          <w:ilvl w:val="0"/>
          <w:numId w:val="35"/>
        </w:numPr>
        <w:jc w:val="both"/>
        <w:rPr>
          <w:sz w:val="20"/>
          <w:szCs w:val="18"/>
        </w:rPr>
      </w:pPr>
      <w:r>
        <w:rPr>
          <w:sz w:val="20"/>
          <w:szCs w:val="18"/>
        </w:rPr>
        <w:t xml:space="preserve">Our view is that the goal of the MSD simplification is not to match the “legacy”/previously agreed MSD requirements, i.e. the 1UL HPUE LUTs do not aim at achieving the best possible fitting of previously agreed MSD requirements. </w:t>
      </w:r>
    </w:p>
    <w:p w14:paraId="34A77A20" w14:textId="77777777" w:rsidR="00F829B1" w:rsidRDefault="00F829B1" w:rsidP="00F829B1">
      <w:pPr>
        <w:pStyle w:val="ListParagraph"/>
        <w:jc w:val="both"/>
        <w:rPr>
          <w:sz w:val="20"/>
          <w:szCs w:val="18"/>
        </w:rPr>
      </w:pPr>
    </w:p>
    <w:p w14:paraId="77EF93D5" w14:textId="23E92255" w:rsidR="00697ECB" w:rsidRDefault="00F829B1" w:rsidP="00697ECB">
      <w:pPr>
        <w:jc w:val="both"/>
        <w:rPr>
          <w:sz w:val="20"/>
          <w:szCs w:val="18"/>
        </w:rPr>
      </w:pPr>
      <w:r>
        <w:rPr>
          <w:sz w:val="20"/>
          <w:szCs w:val="18"/>
        </w:rPr>
        <w:t>As discussed in meeting #111, w</w:t>
      </w:r>
      <w:r w:rsidR="00697ECB">
        <w:rPr>
          <w:sz w:val="20"/>
          <w:szCs w:val="18"/>
        </w:rPr>
        <w:t>e view th</w:t>
      </w:r>
      <w:r>
        <w:rPr>
          <w:sz w:val="20"/>
          <w:szCs w:val="18"/>
        </w:rPr>
        <w:t>is</w:t>
      </w:r>
      <w:r w:rsidR="00697ECB">
        <w:rPr>
          <w:sz w:val="20"/>
          <w:szCs w:val="18"/>
        </w:rPr>
        <w:t xml:space="preserve"> LUT </w:t>
      </w:r>
      <w:r>
        <w:rPr>
          <w:sz w:val="20"/>
          <w:szCs w:val="18"/>
        </w:rPr>
        <w:t xml:space="preserve">initiative </w:t>
      </w:r>
      <w:proofErr w:type="gramStart"/>
      <w:r w:rsidR="00697ECB">
        <w:rPr>
          <w:sz w:val="20"/>
          <w:szCs w:val="18"/>
        </w:rPr>
        <w:t>as a way to</w:t>
      </w:r>
      <w:proofErr w:type="gramEnd"/>
      <w:r w:rsidR="00697ECB">
        <w:rPr>
          <w:sz w:val="20"/>
          <w:szCs w:val="18"/>
        </w:rPr>
        <w:t>:</w:t>
      </w:r>
    </w:p>
    <w:p w14:paraId="6D177908" w14:textId="36F27B7C" w:rsidR="00697ECB" w:rsidRDefault="00697ECB" w:rsidP="000D1D7A">
      <w:pPr>
        <w:pStyle w:val="ListParagraph"/>
        <w:numPr>
          <w:ilvl w:val="0"/>
          <w:numId w:val="36"/>
        </w:numPr>
        <w:jc w:val="both"/>
        <w:rPr>
          <w:sz w:val="20"/>
          <w:szCs w:val="18"/>
        </w:rPr>
      </w:pPr>
      <w:r>
        <w:rPr>
          <w:sz w:val="20"/>
          <w:szCs w:val="18"/>
        </w:rPr>
        <w:t xml:space="preserve">Reduce RAN4 MSD analysis </w:t>
      </w:r>
      <w:proofErr w:type="gramStart"/>
      <w:r>
        <w:rPr>
          <w:sz w:val="20"/>
          <w:szCs w:val="18"/>
        </w:rPr>
        <w:t>workload</w:t>
      </w:r>
      <w:r w:rsidR="00FD74CE">
        <w:rPr>
          <w:sz w:val="20"/>
          <w:szCs w:val="18"/>
        </w:rPr>
        <w:t>;</w:t>
      </w:r>
      <w:proofErr w:type="gramEnd"/>
    </w:p>
    <w:p w14:paraId="6155F1BE" w14:textId="0F78107A" w:rsidR="00697ECB" w:rsidRDefault="00697ECB" w:rsidP="000D1D7A">
      <w:pPr>
        <w:pStyle w:val="ListParagraph"/>
        <w:numPr>
          <w:ilvl w:val="0"/>
          <w:numId w:val="36"/>
        </w:numPr>
        <w:jc w:val="both"/>
        <w:rPr>
          <w:sz w:val="20"/>
          <w:szCs w:val="18"/>
        </w:rPr>
      </w:pPr>
      <w:r>
        <w:rPr>
          <w:sz w:val="20"/>
          <w:szCs w:val="18"/>
        </w:rPr>
        <w:t>Remove inconsistencies across band combinations</w:t>
      </w:r>
      <w:r w:rsidR="00FD74CE">
        <w:rPr>
          <w:sz w:val="20"/>
          <w:szCs w:val="18"/>
        </w:rPr>
        <w:t>; and</w:t>
      </w:r>
      <w:r>
        <w:rPr>
          <w:sz w:val="20"/>
          <w:szCs w:val="18"/>
        </w:rPr>
        <w:t xml:space="preserve"> </w:t>
      </w:r>
    </w:p>
    <w:p w14:paraId="37EB1493" w14:textId="3F4D3C1B" w:rsidR="00697ECB" w:rsidRPr="00697ECB" w:rsidRDefault="00697ECB" w:rsidP="000D1D7A">
      <w:pPr>
        <w:pStyle w:val="ListParagraph"/>
        <w:numPr>
          <w:ilvl w:val="0"/>
          <w:numId w:val="36"/>
        </w:numPr>
        <w:jc w:val="both"/>
        <w:rPr>
          <w:sz w:val="20"/>
          <w:szCs w:val="18"/>
        </w:rPr>
      </w:pPr>
      <w:r>
        <w:rPr>
          <w:sz w:val="20"/>
          <w:szCs w:val="18"/>
        </w:rPr>
        <w:t>Minimize errors by adopting a single set of assumptions.</w:t>
      </w:r>
    </w:p>
    <w:p w14:paraId="0C110F03" w14:textId="77777777" w:rsidR="005C681A" w:rsidRDefault="005C681A" w:rsidP="00522074">
      <w:pPr>
        <w:jc w:val="both"/>
        <w:rPr>
          <w:sz w:val="20"/>
          <w:szCs w:val="18"/>
          <w:highlight w:val="yellow"/>
        </w:rPr>
      </w:pPr>
    </w:p>
    <w:p w14:paraId="58AC9B73" w14:textId="1A1FC0FF" w:rsidR="00613EEE" w:rsidRDefault="00613EEE" w:rsidP="00603B6C">
      <w:pPr>
        <w:shd w:val="clear" w:color="auto" w:fill="DAEEF3" w:themeFill="accent5" w:themeFillTint="33"/>
        <w:jc w:val="both"/>
        <w:rPr>
          <w:sz w:val="20"/>
          <w:szCs w:val="18"/>
        </w:rPr>
      </w:pPr>
      <w:r w:rsidRPr="008874C5">
        <w:rPr>
          <w:b/>
          <w:bCs/>
          <w:sz w:val="20"/>
          <w:szCs w:val="18"/>
        </w:rPr>
        <w:t xml:space="preserve">Observation </w:t>
      </w:r>
      <w:r>
        <w:rPr>
          <w:b/>
          <w:bCs/>
          <w:sz w:val="20"/>
          <w:szCs w:val="18"/>
        </w:rPr>
        <w:t>4</w:t>
      </w:r>
      <w:r>
        <w:rPr>
          <w:sz w:val="20"/>
          <w:szCs w:val="18"/>
        </w:rPr>
        <w:t xml:space="preserve">: All 1UL MSD types can be mapped to either 3dB, 6dB or 9dB </w:t>
      </w:r>
      <w:r w:rsidR="00F829B1">
        <w:rPr>
          <w:sz w:val="20"/>
          <w:szCs w:val="18"/>
        </w:rPr>
        <w:sym w:font="Symbol" w:char="F044"/>
      </w:r>
      <w:proofErr w:type="spellStart"/>
      <w:r w:rsidR="00F829B1">
        <w:rPr>
          <w:sz w:val="20"/>
          <w:szCs w:val="18"/>
        </w:rPr>
        <w:t>MSD</w:t>
      </w:r>
      <w:r w:rsidR="00F829B1" w:rsidRPr="00F829B1">
        <w:rPr>
          <w:sz w:val="20"/>
          <w:szCs w:val="18"/>
          <w:vertAlign w:val="subscript"/>
        </w:rPr>
        <w:t>max</w:t>
      </w:r>
      <w:proofErr w:type="spellEnd"/>
      <w:r w:rsidR="00F829B1">
        <w:rPr>
          <w:sz w:val="20"/>
          <w:szCs w:val="18"/>
        </w:rPr>
        <w:t xml:space="preserve"> </w:t>
      </w:r>
      <w:r>
        <w:rPr>
          <w:sz w:val="20"/>
          <w:szCs w:val="18"/>
        </w:rPr>
        <w:t xml:space="preserve">HPUE simplification LUT. </w:t>
      </w:r>
      <w:r w:rsidR="00566CD2">
        <w:rPr>
          <w:sz w:val="20"/>
          <w:szCs w:val="18"/>
        </w:rPr>
        <w:t xml:space="preserve">A companion LUT is needed 1) </w:t>
      </w:r>
      <w:r w:rsidR="00F829B1">
        <w:rPr>
          <w:sz w:val="20"/>
          <w:szCs w:val="18"/>
        </w:rPr>
        <w:t xml:space="preserve">to </w:t>
      </w:r>
      <w:r w:rsidR="00566CD2">
        <w:rPr>
          <w:sz w:val="20"/>
          <w:szCs w:val="18"/>
        </w:rPr>
        <w:t xml:space="preserve">reflect the current valid 1UL HPUE configurations, 2) to anticipate future 1UL HPUE configurations. </w:t>
      </w:r>
      <w:r w:rsidR="00420DB2" w:rsidRPr="00420DB2">
        <w:rPr>
          <w:sz w:val="20"/>
          <w:szCs w:val="18"/>
        </w:rPr>
        <w:t>It should be noted that</w:t>
      </w:r>
      <w:r w:rsidR="00566CD2">
        <w:rPr>
          <w:sz w:val="20"/>
          <w:szCs w:val="18"/>
        </w:rPr>
        <w:t xml:space="preserve"> </w:t>
      </w:r>
      <w:r w:rsidR="00420DB2">
        <w:rPr>
          <w:sz w:val="20"/>
          <w:szCs w:val="18"/>
        </w:rPr>
        <w:t>some of the 2</w:t>
      </w:r>
      <w:r w:rsidR="00420DB2" w:rsidRPr="00420DB2">
        <w:rPr>
          <w:sz w:val="20"/>
          <w:szCs w:val="18"/>
        </w:rPr>
        <w:t xml:space="preserve">UL ∆MSD can also be mapped to </w:t>
      </w:r>
      <w:r w:rsidR="00420DB2">
        <w:rPr>
          <w:sz w:val="20"/>
          <w:szCs w:val="18"/>
        </w:rPr>
        <w:t>these 3,6,9dB LUT.</w:t>
      </w:r>
    </w:p>
    <w:p w14:paraId="101364D3" w14:textId="77777777" w:rsidR="00613EEE" w:rsidRDefault="00613EEE" w:rsidP="00522074">
      <w:pPr>
        <w:jc w:val="both"/>
        <w:rPr>
          <w:sz w:val="20"/>
          <w:szCs w:val="18"/>
          <w:highlight w:val="yellow"/>
        </w:rPr>
      </w:pPr>
    </w:p>
    <w:p w14:paraId="6B9E2E1A" w14:textId="1D20006F" w:rsidR="00597F5E" w:rsidRDefault="00597F5E" w:rsidP="00597F5E">
      <w:pPr>
        <w:pStyle w:val="Heading2"/>
        <w:tabs>
          <w:tab w:val="clear" w:pos="432"/>
          <w:tab w:val="left" w:pos="709"/>
        </w:tabs>
        <w:ind w:left="0"/>
        <w:rPr>
          <w:rStyle w:val="NMPHeading1Char1"/>
          <w:rFonts w:cs="Arial"/>
          <w:b/>
          <w:bCs/>
          <w:sz w:val="24"/>
          <w:szCs w:val="14"/>
        </w:rPr>
      </w:pPr>
      <w:r w:rsidRPr="001A6F57">
        <w:rPr>
          <w:rStyle w:val="NMPHeading1Char1"/>
          <w:rFonts w:cs="Arial"/>
          <w:b/>
          <w:bCs/>
          <w:sz w:val="24"/>
          <w:szCs w:val="14"/>
        </w:rPr>
        <w:t xml:space="preserve">Addressing </w:t>
      </w:r>
      <w:r>
        <w:rPr>
          <w:rStyle w:val="NMPHeading1Char1"/>
          <w:rFonts w:cs="Arial"/>
          <w:b/>
          <w:bCs/>
          <w:sz w:val="24"/>
          <w:szCs w:val="14"/>
        </w:rPr>
        <w:t>HPUE MSD requirements when no PC3 MSD has been specified</w:t>
      </w:r>
    </w:p>
    <w:p w14:paraId="648ED974" w14:textId="1B95C60C" w:rsidR="00597F5E" w:rsidRDefault="00597F5E" w:rsidP="00BD7208">
      <w:pPr>
        <w:rPr>
          <w:rFonts w:eastAsia="SimSun"/>
          <w:sz w:val="20"/>
          <w:lang w:eastAsia="zh-CN"/>
        </w:rPr>
      </w:pPr>
      <w:r>
        <w:rPr>
          <w:rFonts w:eastAsia="SimSun"/>
          <w:sz w:val="20"/>
          <w:lang w:eastAsia="zh-CN"/>
        </w:rPr>
        <w:t>We consider two ways to address the exceptional cases where 1UL HPUE MSD may be required even</w:t>
      </w:r>
      <w:r w:rsidR="00FD74CE">
        <w:rPr>
          <w:rFonts w:eastAsia="SimSun"/>
          <w:sz w:val="20"/>
          <w:lang w:eastAsia="zh-CN"/>
        </w:rPr>
        <w:t xml:space="preserve"> </w:t>
      </w:r>
      <w:r>
        <w:rPr>
          <w:rFonts w:eastAsia="SimSun"/>
          <w:sz w:val="20"/>
          <w:lang w:eastAsia="zh-CN"/>
        </w:rPr>
        <w:t>though no PC3 MSD has been specified:</w:t>
      </w:r>
    </w:p>
    <w:p w14:paraId="68EF06EE" w14:textId="77777777" w:rsidR="00597F5E" w:rsidRDefault="00597F5E" w:rsidP="00BD7208">
      <w:pPr>
        <w:rPr>
          <w:rFonts w:eastAsia="SimSun"/>
          <w:sz w:val="20"/>
          <w:lang w:eastAsia="zh-CN"/>
        </w:rPr>
      </w:pPr>
    </w:p>
    <w:p w14:paraId="4D63A449" w14:textId="77777777" w:rsidR="00597F5E" w:rsidRDefault="00597F5E" w:rsidP="00597F5E">
      <w:pPr>
        <w:rPr>
          <w:rFonts w:eastAsia="SimSun"/>
          <w:sz w:val="20"/>
          <w:lang w:eastAsia="zh-CN"/>
        </w:rPr>
      </w:pPr>
      <w:r w:rsidRPr="00597F5E">
        <w:rPr>
          <w:rFonts w:eastAsia="SimSun"/>
          <w:sz w:val="20"/>
          <w:lang w:eastAsia="zh-CN"/>
        </w:rPr>
        <w:t xml:space="preserve">Option 1: </w:t>
      </w:r>
    </w:p>
    <w:p w14:paraId="79DCC952" w14:textId="0C1CD64A" w:rsidR="00597F5E" w:rsidRDefault="00597F5E" w:rsidP="000D1D7A">
      <w:pPr>
        <w:pStyle w:val="ListParagraph"/>
        <w:numPr>
          <w:ilvl w:val="0"/>
          <w:numId w:val="37"/>
        </w:numPr>
        <w:rPr>
          <w:rFonts w:eastAsia="SimSun"/>
          <w:sz w:val="20"/>
          <w:lang w:eastAsia="zh-CN"/>
        </w:rPr>
      </w:pPr>
      <w:r w:rsidRPr="00597F5E">
        <w:rPr>
          <w:rFonts w:eastAsia="SimSun"/>
          <w:sz w:val="20"/>
          <w:lang w:eastAsia="zh-CN"/>
        </w:rPr>
        <w:t>For the configurations where PC3 MSD is not specified, the 1UL HPUE MSD requirements are specified in the legacy MSD tables 7.3A.4-2a, 7.3A.4-4a-1, 7.3A.4-4b, 7.3A.6-1a-1, 7.3A.6-1b</w:t>
      </w:r>
      <w:r w:rsidR="00FD74CE">
        <w:rPr>
          <w:rFonts w:eastAsia="SimSun"/>
          <w:sz w:val="20"/>
          <w:lang w:eastAsia="zh-CN"/>
        </w:rPr>
        <w:t>; and</w:t>
      </w:r>
    </w:p>
    <w:p w14:paraId="4F473B86" w14:textId="495590AD" w:rsidR="00597F5E" w:rsidRDefault="00597F5E" w:rsidP="000D1D7A">
      <w:pPr>
        <w:pStyle w:val="ListParagraph"/>
        <w:numPr>
          <w:ilvl w:val="0"/>
          <w:numId w:val="37"/>
        </w:numPr>
        <w:rPr>
          <w:rFonts w:eastAsia="SimSun"/>
          <w:sz w:val="20"/>
          <w:lang w:eastAsia="zh-CN"/>
        </w:rPr>
      </w:pPr>
      <w:r>
        <w:rPr>
          <w:rFonts w:eastAsia="SimSun"/>
          <w:sz w:val="20"/>
          <w:lang w:eastAsia="zh-CN"/>
        </w:rPr>
        <w:t xml:space="preserve">To minimize impact on workload, the MSD levels are clamped to the first </w:t>
      </w:r>
      <w:r>
        <w:rPr>
          <w:rFonts w:eastAsia="SimSun"/>
          <w:sz w:val="20"/>
          <w:lang w:eastAsia="zh-CN"/>
        </w:rPr>
        <w:sym w:font="Symbol" w:char="F044"/>
      </w:r>
      <w:r>
        <w:rPr>
          <w:rFonts w:eastAsia="SimSun"/>
          <w:sz w:val="20"/>
          <w:lang w:eastAsia="zh-CN"/>
        </w:rPr>
        <w:t>MSD entry of each LUT. Taking the example of LUT from [1], specify the PC2 1Tx MSD is set at 0.6</w:t>
      </w:r>
      <w:proofErr w:type="gramStart"/>
      <w:r>
        <w:rPr>
          <w:rFonts w:eastAsia="SimSun"/>
          <w:sz w:val="20"/>
          <w:lang w:eastAsia="zh-CN"/>
        </w:rPr>
        <w:t>dB,  PC</w:t>
      </w:r>
      <w:proofErr w:type="gramEnd"/>
      <w:r>
        <w:rPr>
          <w:rFonts w:eastAsia="SimSun"/>
          <w:sz w:val="20"/>
          <w:lang w:eastAsia="zh-CN"/>
        </w:rPr>
        <w:t>2 2Tx MSD at 0.9dB and PC1.5 MSD at 2.0dB.</w:t>
      </w:r>
    </w:p>
    <w:p w14:paraId="021DC53F" w14:textId="77777777" w:rsidR="00597F5E" w:rsidRDefault="00597F5E" w:rsidP="00597F5E">
      <w:pPr>
        <w:rPr>
          <w:rFonts w:eastAsia="SimSun"/>
          <w:sz w:val="20"/>
          <w:lang w:eastAsia="zh-CN"/>
        </w:rPr>
      </w:pPr>
    </w:p>
    <w:p w14:paraId="21BBCD2E" w14:textId="5BD74EB4" w:rsidR="00597F5E" w:rsidRDefault="00597F5E" w:rsidP="00597F5E">
      <w:pPr>
        <w:rPr>
          <w:rFonts w:eastAsia="SimSun"/>
          <w:sz w:val="20"/>
          <w:lang w:eastAsia="zh-CN"/>
        </w:rPr>
      </w:pPr>
      <w:r>
        <w:rPr>
          <w:rFonts w:eastAsia="SimSun"/>
          <w:sz w:val="20"/>
          <w:lang w:eastAsia="zh-CN"/>
        </w:rPr>
        <w:t>Option 2:</w:t>
      </w:r>
    </w:p>
    <w:p w14:paraId="27E5A70D" w14:textId="729C14BC" w:rsidR="00597F5E" w:rsidRPr="00597F5E" w:rsidRDefault="00597F5E" w:rsidP="000D1D7A">
      <w:pPr>
        <w:pStyle w:val="ListParagraph"/>
        <w:numPr>
          <w:ilvl w:val="0"/>
          <w:numId w:val="38"/>
        </w:numPr>
        <w:rPr>
          <w:rFonts w:eastAsia="SimSun"/>
          <w:sz w:val="20"/>
          <w:lang w:eastAsia="zh-CN"/>
        </w:rPr>
      </w:pPr>
      <w:r>
        <w:rPr>
          <w:rFonts w:eastAsia="SimSun"/>
          <w:sz w:val="20"/>
          <w:lang w:eastAsia="zh-CN"/>
        </w:rPr>
        <w:t xml:space="preserve">As an exception, and because the </w:t>
      </w:r>
      <w:r w:rsidR="00FD74CE">
        <w:rPr>
          <w:rFonts w:eastAsia="SimSun"/>
          <w:sz w:val="20"/>
          <w:lang w:eastAsia="zh-CN"/>
        </w:rPr>
        <w:t>O</w:t>
      </w:r>
      <w:r>
        <w:rPr>
          <w:rFonts w:eastAsia="SimSun"/>
          <w:sz w:val="20"/>
          <w:lang w:eastAsia="zh-CN"/>
        </w:rPr>
        <w:t xml:space="preserve">ption 1 MSD levels are anyway very small, do not specify these exceptions MSD requirements. </w:t>
      </w:r>
    </w:p>
    <w:p w14:paraId="15F9F2C6" w14:textId="77777777" w:rsidR="00597F5E" w:rsidRDefault="00597F5E" w:rsidP="00BD7208">
      <w:pPr>
        <w:rPr>
          <w:rFonts w:eastAsia="SimSun"/>
          <w:b/>
          <w:bCs/>
          <w:sz w:val="20"/>
          <w:lang w:eastAsia="zh-CN"/>
        </w:rPr>
      </w:pPr>
    </w:p>
    <w:p w14:paraId="45685C2A" w14:textId="28102C9D" w:rsidR="00597F5E" w:rsidRDefault="00597F5E" w:rsidP="00597F5E">
      <w:pPr>
        <w:rPr>
          <w:rFonts w:eastAsia="SimSun"/>
          <w:sz w:val="20"/>
          <w:lang w:eastAsia="zh-CN"/>
        </w:rPr>
      </w:pPr>
      <w:r>
        <w:rPr>
          <w:rFonts w:eastAsia="SimSun"/>
          <w:sz w:val="20"/>
          <w:lang w:eastAsia="zh-CN"/>
        </w:rPr>
        <w:t xml:space="preserve">Option 2 is preferred as it further simplifies RAN4 TS and workload. </w:t>
      </w:r>
    </w:p>
    <w:p w14:paraId="2BFDB343" w14:textId="77777777" w:rsidR="00597F5E" w:rsidRDefault="00597F5E" w:rsidP="00597F5E">
      <w:pPr>
        <w:rPr>
          <w:rFonts w:eastAsia="SimSun"/>
          <w:sz w:val="20"/>
          <w:lang w:eastAsia="zh-CN"/>
        </w:rPr>
      </w:pPr>
    </w:p>
    <w:p w14:paraId="7116B9F9" w14:textId="77777777" w:rsidR="002E46F0" w:rsidRDefault="002E46F0" w:rsidP="002E46F0">
      <w:pPr>
        <w:shd w:val="clear" w:color="auto" w:fill="DAEEF3" w:themeFill="accent5" w:themeFillTint="33"/>
        <w:jc w:val="both"/>
        <w:rPr>
          <w:sz w:val="20"/>
          <w:szCs w:val="18"/>
        </w:rPr>
      </w:pPr>
      <w:r w:rsidRPr="008874C5">
        <w:rPr>
          <w:b/>
          <w:bCs/>
          <w:sz w:val="20"/>
          <w:szCs w:val="18"/>
        </w:rPr>
        <w:t xml:space="preserve">Observation </w:t>
      </w:r>
      <w:r>
        <w:rPr>
          <w:b/>
          <w:bCs/>
          <w:sz w:val="20"/>
          <w:szCs w:val="18"/>
        </w:rPr>
        <w:t>5</w:t>
      </w:r>
      <w:r>
        <w:rPr>
          <w:sz w:val="20"/>
          <w:szCs w:val="18"/>
        </w:rPr>
        <w:t>: Two options may be considered to handle the exceptional cases of band combinations which may be affected by 1UL HPUE MSD, and yet do not have any PC3 MSD requirements:</w:t>
      </w:r>
    </w:p>
    <w:p w14:paraId="6F4DC710" w14:textId="77777777" w:rsidR="00597F5E" w:rsidRDefault="00597F5E" w:rsidP="00597F5E">
      <w:pPr>
        <w:shd w:val="clear" w:color="auto" w:fill="DAEEF3" w:themeFill="accent5" w:themeFillTint="33"/>
        <w:rPr>
          <w:rFonts w:eastAsia="SimSun"/>
          <w:sz w:val="20"/>
          <w:lang w:eastAsia="zh-CN"/>
        </w:rPr>
      </w:pPr>
      <w:r w:rsidRPr="00597F5E">
        <w:rPr>
          <w:rFonts w:eastAsia="SimSun"/>
          <w:sz w:val="20"/>
          <w:u w:val="single"/>
          <w:lang w:eastAsia="zh-CN"/>
        </w:rPr>
        <w:lastRenderedPageBreak/>
        <w:t>Option 1</w:t>
      </w:r>
      <w:r w:rsidRPr="00597F5E">
        <w:rPr>
          <w:rFonts w:eastAsia="SimSun"/>
          <w:sz w:val="20"/>
          <w:lang w:eastAsia="zh-CN"/>
        </w:rPr>
        <w:t xml:space="preserve">: </w:t>
      </w:r>
    </w:p>
    <w:p w14:paraId="15DA94FF" w14:textId="68D472F8" w:rsidR="00597F5E" w:rsidRDefault="00597F5E" w:rsidP="000D1D7A">
      <w:pPr>
        <w:pStyle w:val="ListParagraph"/>
        <w:numPr>
          <w:ilvl w:val="0"/>
          <w:numId w:val="37"/>
        </w:numPr>
        <w:shd w:val="clear" w:color="auto" w:fill="DAEEF3" w:themeFill="accent5" w:themeFillTint="33"/>
        <w:rPr>
          <w:rFonts w:eastAsia="SimSun"/>
          <w:sz w:val="20"/>
          <w:lang w:eastAsia="zh-CN"/>
        </w:rPr>
      </w:pPr>
      <w:r w:rsidRPr="00597F5E">
        <w:rPr>
          <w:rFonts w:eastAsia="SimSun"/>
          <w:sz w:val="20"/>
          <w:lang w:eastAsia="zh-CN"/>
        </w:rPr>
        <w:t>For the configurations where PC3 MSD is not specified, the 1UL HPUE MSD requirements are specified in the legacy MSD tables 7.3A.4-2a, 7.3A.4-4a-1, 7.3A.4-4b, 7.3A.6-1a-1, 7.3A.6-1b</w:t>
      </w:r>
      <w:r w:rsidR="00FD74CE">
        <w:rPr>
          <w:rFonts w:eastAsia="SimSun"/>
          <w:sz w:val="20"/>
          <w:lang w:eastAsia="zh-CN"/>
        </w:rPr>
        <w:t>; and</w:t>
      </w:r>
    </w:p>
    <w:p w14:paraId="7D92A890" w14:textId="0A9B3CC9" w:rsidR="00597F5E" w:rsidRDefault="00597F5E" w:rsidP="000D1D7A">
      <w:pPr>
        <w:pStyle w:val="ListParagraph"/>
        <w:numPr>
          <w:ilvl w:val="0"/>
          <w:numId w:val="37"/>
        </w:numPr>
        <w:shd w:val="clear" w:color="auto" w:fill="DAEEF3" w:themeFill="accent5" w:themeFillTint="33"/>
        <w:rPr>
          <w:rFonts w:eastAsia="SimSun"/>
          <w:sz w:val="20"/>
          <w:lang w:eastAsia="zh-CN"/>
        </w:rPr>
      </w:pPr>
      <w:r>
        <w:rPr>
          <w:rFonts w:eastAsia="SimSun"/>
          <w:sz w:val="20"/>
          <w:lang w:eastAsia="zh-CN"/>
        </w:rPr>
        <w:t xml:space="preserve">To minimize impact on workload, the MSD levels are clamped to the first </w:t>
      </w:r>
      <w:r>
        <w:rPr>
          <w:rFonts w:eastAsia="SimSun"/>
          <w:sz w:val="20"/>
          <w:lang w:eastAsia="zh-CN"/>
        </w:rPr>
        <w:sym w:font="Symbol" w:char="F044"/>
      </w:r>
      <w:r>
        <w:rPr>
          <w:rFonts w:eastAsia="SimSun"/>
          <w:sz w:val="20"/>
          <w:lang w:eastAsia="zh-CN"/>
        </w:rPr>
        <w:t>MSD entry of each LUT. Taking the example of LUT from [1], specify the PC2 1Tx MSD is set at 0.6dB, PC2 2Tx MSD at 0.9dB and PC1.5 MSD at 2.0dB.</w:t>
      </w:r>
    </w:p>
    <w:p w14:paraId="7E59A9C6" w14:textId="77777777" w:rsidR="00597F5E" w:rsidRDefault="00597F5E" w:rsidP="00597F5E">
      <w:pPr>
        <w:shd w:val="clear" w:color="auto" w:fill="DAEEF3" w:themeFill="accent5" w:themeFillTint="33"/>
        <w:rPr>
          <w:rFonts w:eastAsia="SimSun"/>
          <w:sz w:val="20"/>
          <w:lang w:eastAsia="zh-CN"/>
        </w:rPr>
      </w:pPr>
    </w:p>
    <w:p w14:paraId="50D30EBC" w14:textId="77777777" w:rsidR="00597F5E" w:rsidRDefault="00597F5E" w:rsidP="00597F5E">
      <w:pPr>
        <w:shd w:val="clear" w:color="auto" w:fill="DAEEF3" w:themeFill="accent5" w:themeFillTint="33"/>
        <w:rPr>
          <w:rFonts w:eastAsia="SimSun"/>
          <w:sz w:val="20"/>
          <w:lang w:eastAsia="zh-CN"/>
        </w:rPr>
      </w:pPr>
      <w:r w:rsidRPr="00597F5E">
        <w:rPr>
          <w:rFonts w:eastAsia="SimSun"/>
          <w:sz w:val="20"/>
          <w:u w:val="single"/>
          <w:lang w:eastAsia="zh-CN"/>
        </w:rPr>
        <w:t>Option 2</w:t>
      </w:r>
      <w:r>
        <w:rPr>
          <w:rFonts w:eastAsia="SimSun"/>
          <w:sz w:val="20"/>
          <w:lang w:eastAsia="zh-CN"/>
        </w:rPr>
        <w:t>:</w:t>
      </w:r>
    </w:p>
    <w:p w14:paraId="759685BE" w14:textId="25694813" w:rsidR="00597F5E" w:rsidRPr="00597F5E" w:rsidRDefault="00597F5E" w:rsidP="000D1D7A">
      <w:pPr>
        <w:pStyle w:val="ListParagraph"/>
        <w:numPr>
          <w:ilvl w:val="0"/>
          <w:numId w:val="38"/>
        </w:numPr>
        <w:shd w:val="clear" w:color="auto" w:fill="DAEEF3" w:themeFill="accent5" w:themeFillTint="33"/>
        <w:rPr>
          <w:rFonts w:eastAsia="SimSun"/>
          <w:sz w:val="20"/>
          <w:lang w:eastAsia="zh-CN"/>
        </w:rPr>
      </w:pPr>
      <w:r>
        <w:rPr>
          <w:rFonts w:eastAsia="SimSun"/>
          <w:sz w:val="20"/>
          <w:lang w:eastAsia="zh-CN"/>
        </w:rPr>
        <w:t xml:space="preserve">As an exception, and because the option 1 MSD levels are anyway very small, do not specify these exceptions MSD requirements. </w:t>
      </w:r>
    </w:p>
    <w:p w14:paraId="2B2A6EB2" w14:textId="77777777" w:rsidR="00597F5E" w:rsidRDefault="00597F5E" w:rsidP="00BD7208">
      <w:pPr>
        <w:rPr>
          <w:rFonts w:eastAsia="SimSun"/>
          <w:b/>
          <w:bCs/>
          <w:sz w:val="20"/>
          <w:lang w:eastAsia="zh-CN"/>
        </w:rPr>
      </w:pPr>
    </w:p>
    <w:p w14:paraId="4B94DEFD" w14:textId="77777777" w:rsidR="00597F5E" w:rsidRDefault="00D21BDC" w:rsidP="006C4945">
      <w:pPr>
        <w:spacing w:afterLines="60" w:after="144"/>
        <w:jc w:val="both"/>
        <w:rPr>
          <w:sz w:val="20"/>
          <w:szCs w:val="18"/>
        </w:rPr>
      </w:pPr>
      <w:r>
        <w:rPr>
          <w:sz w:val="20"/>
          <w:szCs w:val="18"/>
        </w:rPr>
        <w:t xml:space="preserve">Finally, it may be possible to </w:t>
      </w:r>
      <w:r w:rsidR="00597F5E">
        <w:rPr>
          <w:sz w:val="20"/>
          <w:szCs w:val="18"/>
        </w:rPr>
        <w:t xml:space="preserve">further </w:t>
      </w:r>
      <w:r>
        <w:rPr>
          <w:sz w:val="20"/>
          <w:szCs w:val="18"/>
        </w:rPr>
        <w:t>reduce the conformance test burden by</w:t>
      </w:r>
      <w:r w:rsidR="00597F5E">
        <w:rPr>
          <w:sz w:val="20"/>
          <w:szCs w:val="18"/>
        </w:rPr>
        <w:t xml:space="preserve"> </w:t>
      </w:r>
    </w:p>
    <w:p w14:paraId="5FB4480B" w14:textId="394B8BE8" w:rsidR="00597F5E" w:rsidRDefault="00FD74CE" w:rsidP="000D1D7A">
      <w:pPr>
        <w:pStyle w:val="ListParagraph"/>
        <w:numPr>
          <w:ilvl w:val="0"/>
          <w:numId w:val="39"/>
        </w:numPr>
        <w:spacing w:afterLines="60" w:after="144"/>
        <w:jc w:val="both"/>
        <w:rPr>
          <w:sz w:val="20"/>
          <w:szCs w:val="18"/>
        </w:rPr>
      </w:pPr>
      <w:r>
        <w:rPr>
          <w:sz w:val="20"/>
          <w:szCs w:val="18"/>
        </w:rPr>
        <w:t>V</w:t>
      </w:r>
      <w:r w:rsidR="00D21BDC" w:rsidRPr="00597F5E">
        <w:rPr>
          <w:sz w:val="20"/>
          <w:szCs w:val="18"/>
        </w:rPr>
        <w:t>erifying only the UE performance of the highest supported power class</w:t>
      </w:r>
      <w:r>
        <w:rPr>
          <w:sz w:val="20"/>
          <w:szCs w:val="18"/>
        </w:rPr>
        <w:t>; and</w:t>
      </w:r>
    </w:p>
    <w:p w14:paraId="5F9A3BAC" w14:textId="38D4BB6B" w:rsidR="00D21BDC" w:rsidRPr="00597F5E" w:rsidRDefault="00FD74CE" w:rsidP="000D1D7A">
      <w:pPr>
        <w:pStyle w:val="ListParagraph"/>
        <w:numPr>
          <w:ilvl w:val="0"/>
          <w:numId w:val="39"/>
        </w:numPr>
        <w:spacing w:afterLines="60" w:after="144"/>
        <w:jc w:val="both"/>
        <w:rPr>
          <w:sz w:val="20"/>
          <w:szCs w:val="18"/>
        </w:rPr>
      </w:pPr>
      <w:r>
        <w:rPr>
          <w:sz w:val="20"/>
          <w:szCs w:val="18"/>
        </w:rPr>
        <w:t>S</w:t>
      </w:r>
      <w:r w:rsidR="00597F5E">
        <w:rPr>
          <w:sz w:val="20"/>
          <w:szCs w:val="18"/>
        </w:rPr>
        <w:t>kip</w:t>
      </w:r>
      <w:r>
        <w:rPr>
          <w:sz w:val="20"/>
          <w:szCs w:val="18"/>
        </w:rPr>
        <w:t>ping</w:t>
      </w:r>
      <w:r w:rsidR="00597F5E">
        <w:rPr>
          <w:sz w:val="20"/>
          <w:szCs w:val="18"/>
        </w:rPr>
        <w:t xml:space="preserve"> the MSD verification of the </w:t>
      </w:r>
      <w:r>
        <w:rPr>
          <w:sz w:val="20"/>
          <w:szCs w:val="18"/>
        </w:rPr>
        <w:t xml:space="preserve">second </w:t>
      </w:r>
      <w:r w:rsidR="00597F5E">
        <w:rPr>
          <w:sz w:val="20"/>
          <w:szCs w:val="18"/>
        </w:rPr>
        <w:t>“optional” MSD test points.</w:t>
      </w:r>
    </w:p>
    <w:p w14:paraId="641EC601" w14:textId="77777777" w:rsidR="00781CD6" w:rsidRDefault="00781CD6" w:rsidP="00781CD6">
      <w:pPr>
        <w:shd w:val="clear" w:color="auto" w:fill="DAEEF3" w:themeFill="accent5" w:themeFillTint="33"/>
        <w:jc w:val="both"/>
        <w:rPr>
          <w:sz w:val="20"/>
          <w:szCs w:val="18"/>
        </w:rPr>
      </w:pPr>
      <w:r w:rsidRPr="008874C5">
        <w:rPr>
          <w:b/>
          <w:bCs/>
          <w:sz w:val="20"/>
          <w:szCs w:val="18"/>
        </w:rPr>
        <w:t xml:space="preserve">Observation </w:t>
      </w:r>
      <w:r>
        <w:rPr>
          <w:b/>
          <w:bCs/>
          <w:sz w:val="20"/>
          <w:szCs w:val="18"/>
        </w:rPr>
        <w:t>6</w:t>
      </w:r>
      <w:r>
        <w:rPr>
          <w:sz w:val="20"/>
          <w:szCs w:val="18"/>
        </w:rPr>
        <w:t xml:space="preserve">: </w:t>
      </w:r>
      <w:r w:rsidRPr="00781CD6">
        <w:rPr>
          <w:sz w:val="20"/>
          <w:szCs w:val="18"/>
        </w:rPr>
        <w:t>To reduce the conformance test burden of HPUE band combinations</w:t>
      </w:r>
      <w:r>
        <w:rPr>
          <w:sz w:val="20"/>
          <w:szCs w:val="18"/>
        </w:rPr>
        <w:t>, consider the following two additional simplifications:</w:t>
      </w:r>
    </w:p>
    <w:p w14:paraId="1AC3D27D" w14:textId="395D204A" w:rsidR="00781CD6" w:rsidRPr="00781CD6" w:rsidRDefault="00781CD6" w:rsidP="000D1D7A">
      <w:pPr>
        <w:pStyle w:val="ListParagraph"/>
        <w:numPr>
          <w:ilvl w:val="0"/>
          <w:numId w:val="40"/>
        </w:numPr>
        <w:shd w:val="clear" w:color="auto" w:fill="DAEEF3" w:themeFill="accent5" w:themeFillTint="33"/>
        <w:jc w:val="both"/>
        <w:rPr>
          <w:sz w:val="20"/>
          <w:szCs w:val="18"/>
        </w:rPr>
      </w:pPr>
      <w:r w:rsidRPr="00781CD6">
        <w:rPr>
          <w:sz w:val="20"/>
          <w:szCs w:val="18"/>
        </w:rPr>
        <w:t>RAN5 to verify only the MSD of the highest supported power class</w:t>
      </w:r>
      <w:r w:rsidR="00FD74CE">
        <w:rPr>
          <w:sz w:val="20"/>
          <w:szCs w:val="18"/>
        </w:rPr>
        <w:t>; and</w:t>
      </w:r>
    </w:p>
    <w:p w14:paraId="7392020D" w14:textId="0C18FF72" w:rsidR="00781CD6" w:rsidRPr="00781CD6" w:rsidRDefault="00781CD6" w:rsidP="000D1D7A">
      <w:pPr>
        <w:pStyle w:val="ListParagraph"/>
        <w:numPr>
          <w:ilvl w:val="0"/>
          <w:numId w:val="40"/>
        </w:numPr>
        <w:shd w:val="clear" w:color="auto" w:fill="DAEEF3" w:themeFill="accent5" w:themeFillTint="33"/>
        <w:jc w:val="both"/>
        <w:rPr>
          <w:sz w:val="20"/>
          <w:szCs w:val="18"/>
        </w:rPr>
      </w:pPr>
      <w:r w:rsidRPr="00781CD6">
        <w:rPr>
          <w:sz w:val="20"/>
          <w:szCs w:val="18"/>
        </w:rPr>
        <w:t>RAN5 to skip the MSD verification of the 2</w:t>
      </w:r>
      <w:r w:rsidRPr="00781CD6">
        <w:rPr>
          <w:sz w:val="20"/>
          <w:szCs w:val="18"/>
          <w:vertAlign w:val="superscript"/>
        </w:rPr>
        <w:t>nd</w:t>
      </w:r>
      <w:r w:rsidRPr="00781CD6">
        <w:rPr>
          <w:sz w:val="20"/>
          <w:szCs w:val="18"/>
        </w:rPr>
        <w:t xml:space="preserve"> “optional” MSD test points.</w:t>
      </w:r>
    </w:p>
    <w:p w14:paraId="68B040C9" w14:textId="2B8C4380" w:rsidR="00543798" w:rsidRDefault="00543798" w:rsidP="0083400D">
      <w:pPr>
        <w:pStyle w:val="Heading1"/>
        <w:numPr>
          <w:ilvl w:val="0"/>
          <w:numId w:val="11"/>
        </w:numPr>
        <w:rPr>
          <w:rFonts w:eastAsia="SimSun" w:cs="Arial"/>
          <w:b/>
          <w:sz w:val="28"/>
          <w:szCs w:val="24"/>
          <w:lang w:val="en-US" w:eastAsia="zh-CN"/>
        </w:rPr>
      </w:pPr>
      <w:r>
        <w:rPr>
          <w:rFonts w:eastAsia="SimSun" w:cs="Arial"/>
          <w:b/>
          <w:sz w:val="28"/>
          <w:szCs w:val="24"/>
          <w:lang w:val="en-US" w:eastAsia="zh-CN"/>
        </w:rPr>
        <w:t>Conclusion</w:t>
      </w:r>
    </w:p>
    <w:bookmarkEnd w:id="1"/>
    <w:bookmarkEnd w:id="3"/>
    <w:p w14:paraId="38C86CC5" w14:textId="7220AD10" w:rsidR="003F4A21" w:rsidRDefault="003F4A21" w:rsidP="00781CD6">
      <w:pPr>
        <w:rPr>
          <w:rFonts w:eastAsia="SimSun"/>
          <w:sz w:val="20"/>
          <w:lang w:eastAsia="zh-CN"/>
        </w:rPr>
      </w:pPr>
      <w:r w:rsidRPr="00DA3F94">
        <w:rPr>
          <w:sz w:val="20"/>
          <w:lang w:eastAsia="en-GB"/>
        </w:rPr>
        <w:t>This paper captures our views on simplifying</w:t>
      </w:r>
      <w:r>
        <w:rPr>
          <w:sz w:val="20"/>
          <w:lang w:eastAsia="en-GB"/>
        </w:rPr>
        <w:t xml:space="preserve"> the</w:t>
      </w:r>
      <w:r w:rsidRPr="00DA3F94">
        <w:rPr>
          <w:sz w:val="20"/>
          <w:lang w:eastAsia="en-GB"/>
        </w:rPr>
        <w:t xml:space="preserve"> </w:t>
      </w:r>
      <w:r>
        <w:rPr>
          <w:sz w:val="20"/>
          <w:lang w:eastAsia="en-GB"/>
        </w:rPr>
        <w:t xml:space="preserve">1UL </w:t>
      </w:r>
      <w:r w:rsidRPr="00DA3F94">
        <w:rPr>
          <w:sz w:val="20"/>
          <w:lang w:eastAsia="en-GB"/>
        </w:rPr>
        <w:t xml:space="preserve">MSD requirements for </w:t>
      </w:r>
      <w:r w:rsidR="00A86FDA">
        <w:rPr>
          <w:sz w:val="20"/>
          <w:lang w:eastAsia="en-GB"/>
        </w:rPr>
        <w:t xml:space="preserve">Rel-19 </w:t>
      </w:r>
      <w:r w:rsidRPr="00DA3F94">
        <w:rPr>
          <w:sz w:val="20"/>
          <w:lang w:eastAsia="en-GB"/>
        </w:rPr>
        <w:t xml:space="preserve">HPUE </w:t>
      </w:r>
      <w:r>
        <w:rPr>
          <w:sz w:val="20"/>
          <w:lang w:eastAsia="en-GB"/>
        </w:rPr>
        <w:t>NRCA</w:t>
      </w:r>
      <w:r w:rsidRPr="00DA3F94">
        <w:rPr>
          <w:sz w:val="20"/>
          <w:lang w:eastAsia="en-GB"/>
        </w:rPr>
        <w:t xml:space="preserve"> </w:t>
      </w:r>
      <w:r>
        <w:rPr>
          <w:sz w:val="20"/>
          <w:lang w:eastAsia="en-GB"/>
        </w:rPr>
        <w:t>inter-</w:t>
      </w:r>
      <w:r w:rsidRPr="00DA3F94">
        <w:rPr>
          <w:sz w:val="20"/>
          <w:lang w:eastAsia="en-GB"/>
        </w:rPr>
        <w:t>band combinations</w:t>
      </w:r>
      <w:r>
        <w:rPr>
          <w:sz w:val="20"/>
          <w:lang w:eastAsia="en-GB"/>
        </w:rPr>
        <w:t xml:space="preserve">. </w:t>
      </w:r>
      <w:r w:rsidR="00781CD6">
        <w:rPr>
          <w:rFonts w:eastAsia="SimSun"/>
          <w:sz w:val="20"/>
          <w:lang w:eastAsia="zh-CN"/>
        </w:rPr>
        <w:t xml:space="preserve">A “unified” proposal that covers both 1UL </w:t>
      </w:r>
      <w:r w:rsidR="0088047F">
        <w:rPr>
          <w:rFonts w:eastAsia="SimSun"/>
          <w:sz w:val="20"/>
          <w:lang w:eastAsia="zh-CN"/>
        </w:rPr>
        <w:t xml:space="preserve">and 2UL </w:t>
      </w:r>
      <w:r w:rsidR="00781CD6">
        <w:rPr>
          <w:rFonts w:eastAsia="SimSun"/>
          <w:sz w:val="20"/>
          <w:lang w:eastAsia="zh-CN"/>
        </w:rPr>
        <w:t xml:space="preserve">MSD </w:t>
      </w:r>
      <w:r w:rsidR="0088047F">
        <w:rPr>
          <w:rFonts w:eastAsia="SimSun"/>
          <w:sz w:val="20"/>
          <w:lang w:eastAsia="zh-CN"/>
        </w:rPr>
        <w:t xml:space="preserve">simplification </w:t>
      </w:r>
      <w:r w:rsidR="00781CD6">
        <w:rPr>
          <w:rFonts w:eastAsia="SimSun"/>
          <w:sz w:val="20"/>
          <w:lang w:eastAsia="zh-CN"/>
        </w:rPr>
        <w:t xml:space="preserve">can be found in </w:t>
      </w:r>
      <w:r w:rsidR="0088047F">
        <w:rPr>
          <w:rFonts w:eastAsia="SimSun"/>
          <w:sz w:val="20"/>
          <w:lang w:eastAsia="zh-CN"/>
        </w:rPr>
        <w:t>[11].</w:t>
      </w:r>
    </w:p>
    <w:p w14:paraId="0C1158DA" w14:textId="77777777" w:rsidR="0088047F" w:rsidRDefault="0088047F" w:rsidP="00781CD6">
      <w:pPr>
        <w:rPr>
          <w:rFonts w:eastAsia="SimSun"/>
          <w:sz w:val="20"/>
          <w:lang w:eastAsia="zh-CN"/>
        </w:rPr>
      </w:pPr>
    </w:p>
    <w:p w14:paraId="3A86C1E9" w14:textId="5EC9D199" w:rsidR="0088047F" w:rsidRDefault="0088047F" w:rsidP="00781CD6">
      <w:pPr>
        <w:rPr>
          <w:sz w:val="20"/>
          <w:szCs w:val="18"/>
        </w:rPr>
      </w:pPr>
      <w:r w:rsidRPr="002241E2">
        <w:rPr>
          <w:b/>
          <w:bCs/>
          <w:sz w:val="20"/>
          <w:szCs w:val="18"/>
        </w:rPr>
        <w:t>Observation 1</w:t>
      </w:r>
      <w:r>
        <w:rPr>
          <w:sz w:val="20"/>
          <w:szCs w:val="18"/>
        </w:rPr>
        <w:t>: 1UL HPUE MSD simplification may be implemented by assuming that the 1Tx PC2 harmonic and the 1Tx PC2 ACLR interference is 3dB greater than the 1Tx PC3 levels.</w:t>
      </w:r>
    </w:p>
    <w:p w14:paraId="5E486D5E" w14:textId="77777777" w:rsidR="0088047F" w:rsidRDefault="0088047F" w:rsidP="00781CD6">
      <w:pPr>
        <w:rPr>
          <w:sz w:val="20"/>
          <w:szCs w:val="18"/>
        </w:rPr>
      </w:pPr>
    </w:p>
    <w:p w14:paraId="3147D9FC" w14:textId="77777777" w:rsidR="0088047F" w:rsidRDefault="0088047F" w:rsidP="0088047F">
      <w:pPr>
        <w:jc w:val="both"/>
        <w:rPr>
          <w:sz w:val="20"/>
          <w:szCs w:val="18"/>
        </w:rPr>
      </w:pPr>
      <w:r w:rsidRPr="008874C5">
        <w:rPr>
          <w:b/>
          <w:bCs/>
          <w:sz w:val="20"/>
          <w:szCs w:val="18"/>
        </w:rPr>
        <w:t>Observation 2</w:t>
      </w:r>
      <w:r>
        <w:rPr>
          <w:sz w:val="20"/>
          <w:szCs w:val="18"/>
        </w:rPr>
        <w:t xml:space="preserve">: The adoption of a single PC3 1Tx Main/Div. interference imbalance assumption cannot represent every company’s RF-FE </w:t>
      </w:r>
      <w:proofErr w:type="gramStart"/>
      <w:r>
        <w:rPr>
          <w:sz w:val="20"/>
          <w:szCs w:val="18"/>
        </w:rPr>
        <w:t>assumptions</w:t>
      </w:r>
      <w:proofErr w:type="gramEnd"/>
      <w:r>
        <w:rPr>
          <w:sz w:val="20"/>
          <w:szCs w:val="18"/>
        </w:rPr>
        <w:t>. RAN4 rarely adopts MSD requirements that are 100% aligned with all company’s views and assumptions. This is because RAN4 often finds consensus by averaging the MSD evaluations from all contributing companies. In some extreme cases, RAN4 even ignored “outliers” when averaging MSD requirements.</w:t>
      </w:r>
    </w:p>
    <w:p w14:paraId="2C825577" w14:textId="77777777" w:rsidR="0088047F" w:rsidRDefault="0088047F" w:rsidP="0088047F">
      <w:pPr>
        <w:jc w:val="both"/>
        <w:rPr>
          <w:sz w:val="20"/>
          <w:szCs w:val="18"/>
        </w:rPr>
      </w:pPr>
    </w:p>
    <w:p w14:paraId="1F15838F" w14:textId="77777777" w:rsidR="0088047F" w:rsidRDefault="0088047F" w:rsidP="0088047F">
      <w:pPr>
        <w:jc w:val="both"/>
        <w:rPr>
          <w:sz w:val="20"/>
          <w:szCs w:val="18"/>
        </w:rPr>
      </w:pPr>
      <w:r w:rsidRPr="008874C5">
        <w:rPr>
          <w:b/>
          <w:bCs/>
          <w:sz w:val="20"/>
          <w:szCs w:val="18"/>
        </w:rPr>
        <w:t>Observation 3</w:t>
      </w:r>
      <w:r>
        <w:rPr>
          <w:sz w:val="20"/>
          <w:szCs w:val="18"/>
        </w:rPr>
        <w:t xml:space="preserve">: Assuming PC3 1Tx 6dB Main/Div. interference imbalance may not represent all RF-FE architecture assumptions, but this assumption may be considered as a reasonable compromise to ensure that PC1.5 is not penalized. </w:t>
      </w:r>
    </w:p>
    <w:p w14:paraId="48BA61D4" w14:textId="77777777" w:rsidR="0088047F" w:rsidRDefault="0088047F" w:rsidP="00781CD6">
      <w:pPr>
        <w:rPr>
          <w:rFonts w:eastAsia="SimSun"/>
          <w:sz w:val="20"/>
          <w:lang w:eastAsia="zh-CN"/>
        </w:rPr>
      </w:pPr>
    </w:p>
    <w:p w14:paraId="51D2243C" w14:textId="77777777" w:rsidR="002E46F0" w:rsidRDefault="002E46F0" w:rsidP="002E46F0">
      <w:pPr>
        <w:jc w:val="both"/>
        <w:rPr>
          <w:sz w:val="20"/>
          <w:szCs w:val="18"/>
        </w:rPr>
      </w:pPr>
      <w:r w:rsidRPr="008874C5">
        <w:rPr>
          <w:b/>
          <w:bCs/>
          <w:sz w:val="20"/>
          <w:szCs w:val="18"/>
        </w:rPr>
        <w:t xml:space="preserve">Observation </w:t>
      </w:r>
      <w:r>
        <w:rPr>
          <w:b/>
          <w:bCs/>
          <w:sz w:val="20"/>
          <w:szCs w:val="18"/>
        </w:rPr>
        <w:t>4</w:t>
      </w:r>
      <w:r>
        <w:rPr>
          <w:sz w:val="20"/>
          <w:szCs w:val="18"/>
        </w:rPr>
        <w:t xml:space="preserve">: All 1UL MSD types can be mapped to either 3dB, 6dB or 9dB </w:t>
      </w:r>
      <w:r>
        <w:rPr>
          <w:sz w:val="20"/>
          <w:szCs w:val="18"/>
        </w:rPr>
        <w:sym w:font="Symbol" w:char="F044"/>
      </w:r>
      <w:proofErr w:type="spellStart"/>
      <w:r>
        <w:rPr>
          <w:sz w:val="20"/>
          <w:szCs w:val="18"/>
        </w:rPr>
        <w:t>MSD</w:t>
      </w:r>
      <w:r w:rsidRPr="00F829B1">
        <w:rPr>
          <w:sz w:val="20"/>
          <w:szCs w:val="18"/>
          <w:vertAlign w:val="subscript"/>
        </w:rPr>
        <w:t>max</w:t>
      </w:r>
      <w:proofErr w:type="spellEnd"/>
      <w:r>
        <w:rPr>
          <w:sz w:val="20"/>
          <w:szCs w:val="18"/>
        </w:rPr>
        <w:t xml:space="preserve"> HPUE simplification LUT. A companion LUT is needed 1) to reflect the current valid 1UL HPUE configurations, 2) to anticipate future 1UL HPUE configurations. </w:t>
      </w:r>
      <w:r w:rsidRPr="00420DB2">
        <w:rPr>
          <w:sz w:val="20"/>
          <w:szCs w:val="18"/>
        </w:rPr>
        <w:t>It should be noted that</w:t>
      </w:r>
      <w:r>
        <w:rPr>
          <w:sz w:val="20"/>
          <w:szCs w:val="18"/>
        </w:rPr>
        <w:t xml:space="preserve"> some of the 2</w:t>
      </w:r>
      <w:r w:rsidRPr="00420DB2">
        <w:rPr>
          <w:sz w:val="20"/>
          <w:szCs w:val="18"/>
        </w:rPr>
        <w:t xml:space="preserve">UL ∆MSD can also be mapped to </w:t>
      </w:r>
      <w:r>
        <w:rPr>
          <w:sz w:val="20"/>
          <w:szCs w:val="18"/>
        </w:rPr>
        <w:t>these 3,6,9dB LUT.</w:t>
      </w:r>
    </w:p>
    <w:p w14:paraId="47F9FAB7" w14:textId="77777777" w:rsidR="0088047F" w:rsidRDefault="0088047F" w:rsidP="00781CD6">
      <w:pPr>
        <w:rPr>
          <w:sz w:val="20"/>
          <w:szCs w:val="18"/>
        </w:rPr>
      </w:pPr>
    </w:p>
    <w:p w14:paraId="6E4E4A13" w14:textId="02F16590" w:rsidR="0088047F" w:rsidRDefault="0088047F" w:rsidP="0088047F">
      <w:pPr>
        <w:jc w:val="both"/>
        <w:rPr>
          <w:sz w:val="20"/>
          <w:szCs w:val="18"/>
        </w:rPr>
      </w:pPr>
      <w:r w:rsidRPr="008874C5">
        <w:rPr>
          <w:b/>
          <w:bCs/>
          <w:sz w:val="20"/>
          <w:szCs w:val="18"/>
        </w:rPr>
        <w:t xml:space="preserve">Observation </w:t>
      </w:r>
      <w:r>
        <w:rPr>
          <w:b/>
          <w:bCs/>
          <w:sz w:val="20"/>
          <w:szCs w:val="18"/>
        </w:rPr>
        <w:t>5</w:t>
      </w:r>
      <w:r>
        <w:rPr>
          <w:sz w:val="20"/>
          <w:szCs w:val="18"/>
        </w:rPr>
        <w:t xml:space="preserve">: Two options may be considered to handle the </w:t>
      </w:r>
      <w:r w:rsidR="002E46F0">
        <w:rPr>
          <w:sz w:val="20"/>
          <w:szCs w:val="18"/>
        </w:rPr>
        <w:t xml:space="preserve">exceptional </w:t>
      </w:r>
      <w:r>
        <w:rPr>
          <w:sz w:val="20"/>
          <w:szCs w:val="18"/>
        </w:rPr>
        <w:t>case</w:t>
      </w:r>
      <w:r w:rsidR="002E46F0">
        <w:rPr>
          <w:sz w:val="20"/>
          <w:szCs w:val="18"/>
        </w:rPr>
        <w:t>s</w:t>
      </w:r>
      <w:r>
        <w:rPr>
          <w:sz w:val="20"/>
          <w:szCs w:val="18"/>
        </w:rPr>
        <w:t xml:space="preserve"> of band combinations which may be affected by 1UL HPUE MSD, and yet do not have any PC3 MSD requirements:</w:t>
      </w:r>
    </w:p>
    <w:p w14:paraId="4C7CA72C" w14:textId="77777777" w:rsidR="0088047F" w:rsidRDefault="0088047F" w:rsidP="0088047F">
      <w:pPr>
        <w:ind w:firstLine="284"/>
        <w:rPr>
          <w:rFonts w:eastAsia="SimSun"/>
          <w:sz w:val="20"/>
          <w:lang w:eastAsia="zh-CN"/>
        </w:rPr>
      </w:pPr>
      <w:r w:rsidRPr="00597F5E">
        <w:rPr>
          <w:rFonts w:eastAsia="SimSun"/>
          <w:sz w:val="20"/>
          <w:u w:val="single"/>
          <w:lang w:eastAsia="zh-CN"/>
        </w:rPr>
        <w:t>Option 1</w:t>
      </w:r>
      <w:r w:rsidRPr="00597F5E">
        <w:rPr>
          <w:rFonts w:eastAsia="SimSun"/>
          <w:sz w:val="20"/>
          <w:lang w:eastAsia="zh-CN"/>
        </w:rPr>
        <w:t xml:space="preserve">: </w:t>
      </w:r>
    </w:p>
    <w:p w14:paraId="65262EF4" w14:textId="4E168DF6" w:rsidR="0088047F" w:rsidRDefault="0088047F" w:rsidP="000D1D7A">
      <w:pPr>
        <w:pStyle w:val="ListParagraph"/>
        <w:numPr>
          <w:ilvl w:val="0"/>
          <w:numId w:val="37"/>
        </w:numPr>
        <w:rPr>
          <w:rFonts w:eastAsia="SimSun"/>
          <w:sz w:val="20"/>
          <w:lang w:eastAsia="zh-CN"/>
        </w:rPr>
      </w:pPr>
      <w:r w:rsidRPr="00597F5E">
        <w:rPr>
          <w:rFonts w:eastAsia="SimSun"/>
          <w:sz w:val="20"/>
          <w:lang w:eastAsia="zh-CN"/>
        </w:rPr>
        <w:t>For the configurations where PC3 MSD is not specified, the 1UL HPUE MSD requirements are specified in the legacy MSD tables 7.3A.4-2a, 7.3A.4-4a-1, 7.3A.4-4b, 7.3A.6-1a-1, 7.3A.6-1b</w:t>
      </w:r>
      <w:r w:rsidR="00FD74CE">
        <w:rPr>
          <w:rFonts w:eastAsia="SimSun"/>
          <w:sz w:val="20"/>
          <w:lang w:eastAsia="zh-CN"/>
        </w:rPr>
        <w:t>; and</w:t>
      </w:r>
    </w:p>
    <w:p w14:paraId="43060F15" w14:textId="61E43391" w:rsidR="0088047F" w:rsidRPr="002E46F0" w:rsidRDefault="0088047F" w:rsidP="000D1D7A">
      <w:pPr>
        <w:pStyle w:val="ListParagraph"/>
        <w:numPr>
          <w:ilvl w:val="0"/>
          <w:numId w:val="37"/>
        </w:numPr>
        <w:rPr>
          <w:rFonts w:eastAsia="SimSun"/>
          <w:sz w:val="20"/>
          <w:lang w:eastAsia="zh-CN"/>
        </w:rPr>
      </w:pPr>
      <w:r w:rsidRPr="002E46F0">
        <w:rPr>
          <w:rFonts w:eastAsia="SimSun"/>
          <w:sz w:val="20"/>
          <w:lang w:eastAsia="zh-CN"/>
        </w:rPr>
        <w:t xml:space="preserve">To minimize impact on workload, the MSD levels are clamped to the first </w:t>
      </w:r>
      <w:r>
        <w:rPr>
          <w:rFonts w:eastAsia="SimSun"/>
          <w:sz w:val="20"/>
          <w:lang w:eastAsia="zh-CN"/>
        </w:rPr>
        <w:sym w:font="Symbol" w:char="F044"/>
      </w:r>
      <w:r w:rsidRPr="002E46F0">
        <w:rPr>
          <w:rFonts w:eastAsia="SimSun"/>
          <w:sz w:val="20"/>
          <w:lang w:eastAsia="zh-CN"/>
        </w:rPr>
        <w:t>MSD entry of each LUT. Taking the example of LUT from [1], specify the PC2 1Tx MSD is set at 0.6dB, PC2 2Tx MSD at 0.9dB and PC1.5 MSD at 2.0dB.</w:t>
      </w:r>
    </w:p>
    <w:p w14:paraId="5A7D74CA" w14:textId="77777777" w:rsidR="0088047F" w:rsidRDefault="0088047F" w:rsidP="0088047F">
      <w:pPr>
        <w:ind w:firstLine="284"/>
        <w:rPr>
          <w:rFonts w:eastAsia="SimSun"/>
          <w:sz w:val="20"/>
          <w:lang w:eastAsia="zh-CN"/>
        </w:rPr>
      </w:pPr>
      <w:r w:rsidRPr="00597F5E">
        <w:rPr>
          <w:rFonts w:eastAsia="SimSun"/>
          <w:sz w:val="20"/>
          <w:u w:val="single"/>
          <w:lang w:eastAsia="zh-CN"/>
        </w:rPr>
        <w:t>Option 2</w:t>
      </w:r>
      <w:r>
        <w:rPr>
          <w:rFonts w:eastAsia="SimSun"/>
          <w:sz w:val="20"/>
          <w:lang w:eastAsia="zh-CN"/>
        </w:rPr>
        <w:t>:</w:t>
      </w:r>
    </w:p>
    <w:p w14:paraId="19F65342" w14:textId="5250FFDE" w:rsidR="0088047F" w:rsidRPr="00597F5E" w:rsidRDefault="0088047F" w:rsidP="000D1D7A">
      <w:pPr>
        <w:pStyle w:val="ListParagraph"/>
        <w:numPr>
          <w:ilvl w:val="0"/>
          <w:numId w:val="38"/>
        </w:numPr>
        <w:rPr>
          <w:rFonts w:eastAsia="SimSun"/>
          <w:sz w:val="20"/>
          <w:lang w:eastAsia="zh-CN"/>
        </w:rPr>
      </w:pPr>
      <w:r>
        <w:rPr>
          <w:rFonts w:eastAsia="SimSun"/>
          <w:sz w:val="20"/>
          <w:lang w:eastAsia="zh-CN"/>
        </w:rPr>
        <w:t xml:space="preserve">As an exception, and because the </w:t>
      </w:r>
      <w:r w:rsidR="00FD74CE">
        <w:rPr>
          <w:rFonts w:eastAsia="SimSun"/>
          <w:sz w:val="20"/>
          <w:lang w:eastAsia="zh-CN"/>
        </w:rPr>
        <w:t>O</w:t>
      </w:r>
      <w:r>
        <w:rPr>
          <w:rFonts w:eastAsia="SimSun"/>
          <w:sz w:val="20"/>
          <w:lang w:eastAsia="zh-CN"/>
        </w:rPr>
        <w:t xml:space="preserve">ption 1 MSD levels are anyway very small, do not specify these exceptions MSD requirements. </w:t>
      </w:r>
    </w:p>
    <w:p w14:paraId="19E4D7B5" w14:textId="77777777" w:rsidR="0088047F" w:rsidRDefault="0088047F" w:rsidP="0088047F">
      <w:pPr>
        <w:rPr>
          <w:rFonts w:eastAsia="SimSun"/>
          <w:b/>
          <w:bCs/>
          <w:sz w:val="20"/>
          <w:lang w:eastAsia="zh-CN"/>
        </w:rPr>
      </w:pPr>
    </w:p>
    <w:p w14:paraId="16ABFF6B" w14:textId="77777777" w:rsidR="0088047F" w:rsidRDefault="0088047F" w:rsidP="0088047F">
      <w:pPr>
        <w:jc w:val="both"/>
        <w:rPr>
          <w:sz w:val="20"/>
          <w:szCs w:val="18"/>
        </w:rPr>
      </w:pPr>
      <w:r w:rsidRPr="008874C5">
        <w:rPr>
          <w:b/>
          <w:bCs/>
          <w:sz w:val="20"/>
          <w:szCs w:val="18"/>
        </w:rPr>
        <w:t xml:space="preserve">Observation </w:t>
      </w:r>
      <w:r>
        <w:rPr>
          <w:b/>
          <w:bCs/>
          <w:sz w:val="20"/>
          <w:szCs w:val="18"/>
        </w:rPr>
        <w:t>6</w:t>
      </w:r>
      <w:r>
        <w:rPr>
          <w:sz w:val="20"/>
          <w:szCs w:val="18"/>
        </w:rPr>
        <w:t xml:space="preserve">: </w:t>
      </w:r>
      <w:r w:rsidRPr="00781CD6">
        <w:rPr>
          <w:sz w:val="20"/>
          <w:szCs w:val="18"/>
        </w:rPr>
        <w:t>To reduce the conformance test burden of HPUE band combinations</w:t>
      </w:r>
      <w:r>
        <w:rPr>
          <w:sz w:val="20"/>
          <w:szCs w:val="18"/>
        </w:rPr>
        <w:t>, consider the following two additional simplifications:</w:t>
      </w:r>
    </w:p>
    <w:p w14:paraId="5F727A78" w14:textId="0C639A37" w:rsidR="0088047F" w:rsidRPr="00781CD6" w:rsidRDefault="0088047F" w:rsidP="000D1D7A">
      <w:pPr>
        <w:pStyle w:val="ListParagraph"/>
        <w:numPr>
          <w:ilvl w:val="0"/>
          <w:numId w:val="41"/>
        </w:numPr>
        <w:jc w:val="both"/>
        <w:rPr>
          <w:sz w:val="20"/>
          <w:szCs w:val="18"/>
        </w:rPr>
      </w:pPr>
      <w:r w:rsidRPr="00781CD6">
        <w:rPr>
          <w:sz w:val="20"/>
          <w:szCs w:val="18"/>
        </w:rPr>
        <w:t>RAN5 to verify only the MSD of the highest supported power class</w:t>
      </w:r>
      <w:r w:rsidR="00FD74CE">
        <w:rPr>
          <w:sz w:val="20"/>
          <w:szCs w:val="18"/>
        </w:rPr>
        <w:t>; and</w:t>
      </w:r>
    </w:p>
    <w:p w14:paraId="5C03092F" w14:textId="5667CF03" w:rsidR="0088047F" w:rsidRPr="002E46F0" w:rsidRDefault="0088047F" w:rsidP="000D1D7A">
      <w:pPr>
        <w:pStyle w:val="ListParagraph"/>
        <w:numPr>
          <w:ilvl w:val="0"/>
          <w:numId w:val="41"/>
        </w:numPr>
        <w:jc w:val="both"/>
        <w:rPr>
          <w:sz w:val="20"/>
          <w:lang w:eastAsia="en-GB"/>
        </w:rPr>
      </w:pPr>
      <w:r w:rsidRPr="002E46F0">
        <w:rPr>
          <w:sz w:val="20"/>
          <w:szCs w:val="18"/>
        </w:rPr>
        <w:t xml:space="preserve">RAN5 to skip the MSD verification of the </w:t>
      </w:r>
      <w:r w:rsidR="00FD74CE">
        <w:rPr>
          <w:sz w:val="20"/>
          <w:szCs w:val="18"/>
        </w:rPr>
        <w:t>second</w:t>
      </w:r>
      <w:r w:rsidR="00FD74CE" w:rsidRPr="002E46F0">
        <w:rPr>
          <w:sz w:val="20"/>
          <w:szCs w:val="18"/>
        </w:rPr>
        <w:t xml:space="preserve"> </w:t>
      </w:r>
      <w:r w:rsidRPr="002E46F0">
        <w:rPr>
          <w:sz w:val="20"/>
          <w:szCs w:val="18"/>
        </w:rPr>
        <w:t>“optional” MSD test points.</w:t>
      </w:r>
    </w:p>
    <w:p w14:paraId="0811D1E4" w14:textId="58232444" w:rsidR="00EC4A2D" w:rsidRDefault="00EC4A2D" w:rsidP="0083400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References</w:t>
      </w:r>
    </w:p>
    <w:p w14:paraId="44488615" w14:textId="27B632E9" w:rsidR="00EB4469" w:rsidRPr="00BF1A29" w:rsidRDefault="00C1717D"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C1717D">
        <w:rPr>
          <w:rFonts w:eastAsia="SimSun"/>
          <w:bCs/>
          <w:sz w:val="20"/>
          <w:szCs w:val="22"/>
          <w:lang w:eastAsia="zh-CN"/>
        </w:rPr>
        <w:t>R4-2</w:t>
      </w:r>
      <w:r w:rsidR="00F505A3">
        <w:rPr>
          <w:rFonts w:eastAsia="SimSun"/>
          <w:bCs/>
          <w:sz w:val="20"/>
          <w:szCs w:val="22"/>
          <w:lang w:eastAsia="zh-CN"/>
        </w:rPr>
        <w:t>501955</w:t>
      </w:r>
      <w:r w:rsidR="00736B7B">
        <w:rPr>
          <w:rFonts w:eastAsia="SimSun"/>
          <w:bCs/>
          <w:sz w:val="20"/>
          <w:szCs w:val="22"/>
          <w:lang w:eastAsia="zh-CN"/>
        </w:rPr>
        <w:t xml:space="preserve"> </w:t>
      </w:r>
      <w:r w:rsidR="00F505A3" w:rsidRPr="00F505A3">
        <w:rPr>
          <w:rFonts w:eastAsia="SimSun"/>
          <w:bCs/>
          <w:sz w:val="20"/>
          <w:szCs w:val="22"/>
          <w:lang w:eastAsia="zh-CN"/>
        </w:rPr>
        <w:t>1UL MSD simplifications rules for Rel-19</w:t>
      </w:r>
      <w:r w:rsidR="00736B7B">
        <w:rPr>
          <w:rFonts w:eastAsia="SimSun"/>
          <w:bCs/>
          <w:sz w:val="20"/>
          <w:szCs w:val="22"/>
          <w:lang w:eastAsia="zh-CN"/>
        </w:rPr>
        <w:t xml:space="preserve">, </w:t>
      </w:r>
      <w:r w:rsidR="00736B7B" w:rsidRPr="00EC4A2D">
        <w:rPr>
          <w:rFonts w:eastAsia="SimSun"/>
          <w:bCs/>
          <w:sz w:val="20"/>
          <w:szCs w:val="22"/>
          <w:lang w:eastAsia="zh-CN"/>
        </w:rPr>
        <w:t>3GPP TSG-RAN WG4 Meeting #11</w:t>
      </w:r>
      <w:r w:rsidR="00F505A3">
        <w:rPr>
          <w:rFonts w:eastAsia="SimSun"/>
          <w:bCs/>
          <w:sz w:val="20"/>
          <w:szCs w:val="22"/>
          <w:lang w:eastAsia="zh-CN"/>
        </w:rPr>
        <w:t>4</w:t>
      </w:r>
      <w:r w:rsidR="00736B7B" w:rsidRPr="00EC4A2D">
        <w:rPr>
          <w:rFonts w:eastAsia="SimSun"/>
          <w:bCs/>
          <w:sz w:val="20"/>
          <w:szCs w:val="22"/>
          <w:lang w:eastAsia="zh-CN"/>
        </w:rPr>
        <w:t xml:space="preserve">, </w:t>
      </w:r>
      <w:r w:rsidR="00F505A3">
        <w:rPr>
          <w:rFonts w:eastAsia="SimSun"/>
          <w:bCs/>
          <w:sz w:val="20"/>
          <w:szCs w:val="22"/>
          <w:lang w:eastAsia="zh-CN"/>
        </w:rPr>
        <w:t>Athens</w:t>
      </w:r>
      <w:r w:rsidR="00736B7B" w:rsidRPr="00EC4A2D">
        <w:rPr>
          <w:rFonts w:eastAsia="SimSun"/>
          <w:bCs/>
          <w:sz w:val="20"/>
          <w:szCs w:val="22"/>
          <w:lang w:eastAsia="zh-CN"/>
        </w:rPr>
        <w:t>,</w:t>
      </w:r>
      <w:r w:rsidR="00736B7B">
        <w:rPr>
          <w:rFonts w:eastAsia="SimSun"/>
          <w:bCs/>
          <w:sz w:val="20"/>
          <w:szCs w:val="22"/>
          <w:lang w:eastAsia="zh-CN"/>
        </w:rPr>
        <w:t xml:space="preserve"> </w:t>
      </w:r>
      <w:r w:rsidR="00F505A3">
        <w:rPr>
          <w:rFonts w:eastAsia="SimSun"/>
          <w:bCs/>
          <w:sz w:val="20"/>
          <w:szCs w:val="22"/>
          <w:lang w:eastAsia="zh-CN"/>
        </w:rPr>
        <w:t>Greece</w:t>
      </w:r>
      <w:r w:rsidR="00736B7B">
        <w:rPr>
          <w:rFonts w:eastAsia="SimSun"/>
          <w:bCs/>
          <w:sz w:val="20"/>
          <w:szCs w:val="22"/>
          <w:lang w:eastAsia="zh-CN"/>
        </w:rPr>
        <w:t>,</w:t>
      </w:r>
      <w:r w:rsidR="00736B7B" w:rsidRPr="00EC4A2D">
        <w:rPr>
          <w:rFonts w:eastAsia="SimSun"/>
          <w:bCs/>
          <w:sz w:val="20"/>
          <w:szCs w:val="22"/>
          <w:lang w:eastAsia="zh-CN"/>
        </w:rPr>
        <w:t xml:space="preserve"> Skyworks</w:t>
      </w:r>
      <w:r w:rsidR="00736B7B">
        <w:rPr>
          <w:rFonts w:eastAsia="SimSun"/>
          <w:bCs/>
          <w:sz w:val="20"/>
          <w:szCs w:val="22"/>
          <w:lang w:eastAsia="zh-CN"/>
        </w:rPr>
        <w:t xml:space="preserve"> Solutions, Inc, </w:t>
      </w:r>
      <w:r>
        <w:rPr>
          <w:rFonts w:eastAsia="SimSun"/>
          <w:bCs/>
          <w:sz w:val="20"/>
          <w:szCs w:val="22"/>
          <w:lang w:eastAsia="zh-CN"/>
        </w:rPr>
        <w:t>Nokia.</w:t>
      </w:r>
    </w:p>
    <w:p w14:paraId="1A567475" w14:textId="77777777" w:rsidR="00AC7243" w:rsidRPr="00733981" w:rsidRDefault="00AC7243"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C1717D">
        <w:rPr>
          <w:rFonts w:eastAsia="SimSun"/>
          <w:bCs/>
          <w:sz w:val="20"/>
          <w:szCs w:val="22"/>
          <w:lang w:eastAsia="zh-CN"/>
        </w:rPr>
        <w:t>R4-2420380</w:t>
      </w:r>
      <w:r>
        <w:rPr>
          <w:rFonts w:eastAsia="SimSun"/>
          <w:bCs/>
          <w:sz w:val="20"/>
          <w:szCs w:val="22"/>
          <w:lang w:eastAsia="zh-CN"/>
        </w:rPr>
        <w:t xml:space="preserve"> WF on MSD rule, </w:t>
      </w:r>
      <w:r w:rsidRPr="00EC4A2D">
        <w:rPr>
          <w:rFonts w:eastAsia="SimSun"/>
          <w:bCs/>
          <w:sz w:val="20"/>
          <w:szCs w:val="22"/>
          <w:lang w:eastAsia="zh-CN"/>
        </w:rPr>
        <w:t>3GPP TSG-RAN WG4 Meeting #11</w:t>
      </w:r>
      <w:r>
        <w:rPr>
          <w:rFonts w:eastAsia="SimSun"/>
          <w:bCs/>
          <w:sz w:val="20"/>
          <w:szCs w:val="22"/>
          <w:lang w:eastAsia="zh-CN"/>
        </w:rPr>
        <w:t>3</w:t>
      </w:r>
      <w:r w:rsidRPr="00EC4A2D">
        <w:rPr>
          <w:rFonts w:eastAsia="SimSun"/>
          <w:bCs/>
          <w:sz w:val="20"/>
          <w:szCs w:val="22"/>
          <w:lang w:eastAsia="zh-CN"/>
        </w:rPr>
        <w:t xml:space="preserve">, </w:t>
      </w:r>
      <w:r>
        <w:rPr>
          <w:rFonts w:eastAsia="SimSun"/>
          <w:bCs/>
          <w:sz w:val="20"/>
          <w:szCs w:val="22"/>
          <w:lang w:eastAsia="zh-CN"/>
        </w:rPr>
        <w:t>Orlando</w:t>
      </w:r>
      <w:r w:rsidRPr="00EC4A2D">
        <w:rPr>
          <w:rFonts w:eastAsia="SimSun"/>
          <w:bCs/>
          <w:sz w:val="20"/>
          <w:szCs w:val="22"/>
          <w:lang w:eastAsia="zh-CN"/>
        </w:rPr>
        <w:t>,</w:t>
      </w:r>
      <w:r>
        <w:rPr>
          <w:rFonts w:eastAsia="SimSun"/>
          <w:bCs/>
          <w:sz w:val="20"/>
          <w:szCs w:val="22"/>
          <w:lang w:eastAsia="zh-CN"/>
        </w:rPr>
        <w:t xml:space="preserve"> USA,</w:t>
      </w:r>
      <w:r w:rsidRPr="00EC4A2D">
        <w:rPr>
          <w:rFonts w:eastAsia="SimSun"/>
          <w:bCs/>
          <w:sz w:val="20"/>
          <w:szCs w:val="22"/>
          <w:lang w:eastAsia="zh-CN"/>
        </w:rPr>
        <w:t xml:space="preserve"> Skyworks</w:t>
      </w:r>
      <w:r>
        <w:rPr>
          <w:rFonts w:eastAsia="SimSun"/>
          <w:bCs/>
          <w:sz w:val="20"/>
          <w:szCs w:val="22"/>
          <w:lang w:eastAsia="zh-CN"/>
        </w:rPr>
        <w:t xml:space="preserve"> Solutions, Inc, Murata Corporation Ltd., Nokia, Qualcomm France.</w:t>
      </w:r>
    </w:p>
    <w:p w14:paraId="4534E3B1" w14:textId="64093677" w:rsidR="00733981" w:rsidRDefault="00733981"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733981">
        <w:rPr>
          <w:sz w:val="20"/>
          <w:szCs w:val="22"/>
          <w:lang w:val="en-CA" w:eastAsia="en-GB"/>
        </w:rPr>
        <w:t>R4-2407156</w:t>
      </w:r>
      <w:r>
        <w:rPr>
          <w:sz w:val="20"/>
          <w:szCs w:val="22"/>
          <w:lang w:val="en-CA" w:eastAsia="en-GB"/>
        </w:rPr>
        <w:t xml:space="preserve"> </w:t>
      </w:r>
      <w:r w:rsidRPr="00733981">
        <w:rPr>
          <w:sz w:val="20"/>
          <w:szCs w:val="22"/>
          <w:lang w:val="en-CA" w:eastAsia="en-GB"/>
        </w:rPr>
        <w:t>Guidelines for FDD PC2 Harmonic MSD Analysis</w:t>
      </w:r>
      <w:r>
        <w:rPr>
          <w:sz w:val="20"/>
          <w:szCs w:val="22"/>
          <w:lang w:val="en-CA" w:eastAsia="en-GB"/>
        </w:rPr>
        <w:t xml:space="preserve">, </w:t>
      </w:r>
      <w:r w:rsidRPr="00733981">
        <w:rPr>
          <w:sz w:val="20"/>
          <w:szCs w:val="22"/>
          <w:lang w:val="en-CA" w:eastAsia="en-GB"/>
        </w:rPr>
        <w:t>3GPP TSG-RAN WG4 Meeting #11</w:t>
      </w:r>
      <w:r>
        <w:rPr>
          <w:sz w:val="20"/>
          <w:szCs w:val="22"/>
          <w:lang w:val="en-CA" w:eastAsia="en-GB"/>
        </w:rPr>
        <w:t>1</w:t>
      </w:r>
      <w:r w:rsidRPr="00733981">
        <w:rPr>
          <w:sz w:val="20"/>
          <w:szCs w:val="22"/>
          <w:lang w:val="en-CA" w:eastAsia="en-GB"/>
        </w:rPr>
        <w:t xml:space="preserve">, </w:t>
      </w:r>
      <w:r>
        <w:rPr>
          <w:sz w:val="20"/>
          <w:szCs w:val="22"/>
          <w:lang w:val="en-CA" w:eastAsia="en-GB"/>
        </w:rPr>
        <w:t>Fukuoka</w:t>
      </w:r>
      <w:r w:rsidRPr="00733981">
        <w:rPr>
          <w:sz w:val="20"/>
          <w:szCs w:val="22"/>
          <w:lang w:val="en-CA" w:eastAsia="en-GB"/>
        </w:rPr>
        <w:t xml:space="preserve">, </w:t>
      </w:r>
      <w:r>
        <w:rPr>
          <w:sz w:val="20"/>
          <w:szCs w:val="22"/>
          <w:lang w:val="en-CA" w:eastAsia="en-GB"/>
        </w:rPr>
        <w:t>Japan</w:t>
      </w:r>
      <w:r w:rsidRPr="00733981">
        <w:rPr>
          <w:sz w:val="20"/>
          <w:szCs w:val="22"/>
          <w:lang w:val="en-CA" w:eastAsia="en-GB"/>
        </w:rPr>
        <w:t>, Skyworks Solutions</w:t>
      </w:r>
      <w:r w:rsidR="00FD74CE">
        <w:rPr>
          <w:sz w:val="20"/>
          <w:szCs w:val="22"/>
          <w:lang w:val="en-CA" w:eastAsia="en-GB"/>
        </w:rPr>
        <w:t>, Inc</w:t>
      </w:r>
      <w:r>
        <w:rPr>
          <w:sz w:val="20"/>
          <w:szCs w:val="22"/>
          <w:lang w:val="en-CA" w:eastAsia="en-GB"/>
        </w:rPr>
        <w:t>.</w:t>
      </w:r>
    </w:p>
    <w:p w14:paraId="03445EDE" w14:textId="03C8A66A" w:rsidR="00733981" w:rsidRDefault="00733981"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733981">
        <w:rPr>
          <w:sz w:val="20"/>
          <w:szCs w:val="22"/>
          <w:lang w:val="en-CA" w:eastAsia="en-GB"/>
        </w:rPr>
        <w:t>R4-2413068</w:t>
      </w:r>
      <w:r>
        <w:rPr>
          <w:sz w:val="20"/>
          <w:szCs w:val="22"/>
          <w:lang w:val="en-CA" w:eastAsia="en-GB"/>
        </w:rPr>
        <w:t xml:space="preserve"> </w:t>
      </w:r>
      <w:r w:rsidRPr="00733981">
        <w:rPr>
          <w:sz w:val="20"/>
          <w:szCs w:val="22"/>
          <w:lang w:val="en-CA" w:eastAsia="en-GB"/>
        </w:rPr>
        <w:t>Update on Harmonic MSD simplification</w:t>
      </w:r>
      <w:r>
        <w:rPr>
          <w:sz w:val="20"/>
          <w:szCs w:val="22"/>
          <w:lang w:val="en-CA" w:eastAsia="en-GB"/>
        </w:rPr>
        <w:t xml:space="preserve">, </w:t>
      </w:r>
      <w:r w:rsidRPr="00733981">
        <w:rPr>
          <w:sz w:val="20"/>
          <w:szCs w:val="22"/>
          <w:lang w:val="en-CA" w:eastAsia="en-GB"/>
        </w:rPr>
        <w:t>3GPP TSG-RAN WG4 Meeting #11</w:t>
      </w:r>
      <w:r>
        <w:rPr>
          <w:sz w:val="20"/>
          <w:szCs w:val="22"/>
          <w:lang w:val="en-CA" w:eastAsia="en-GB"/>
        </w:rPr>
        <w:t>2</w:t>
      </w:r>
      <w:r w:rsidRPr="00733981">
        <w:rPr>
          <w:sz w:val="20"/>
          <w:szCs w:val="22"/>
          <w:lang w:val="en-CA" w:eastAsia="en-GB"/>
        </w:rPr>
        <w:t xml:space="preserve">, </w:t>
      </w:r>
      <w:r>
        <w:rPr>
          <w:sz w:val="20"/>
          <w:szCs w:val="22"/>
          <w:lang w:val="en-CA" w:eastAsia="en-GB"/>
        </w:rPr>
        <w:t>Maastricht</w:t>
      </w:r>
      <w:r w:rsidRPr="00733981">
        <w:rPr>
          <w:sz w:val="20"/>
          <w:szCs w:val="22"/>
          <w:lang w:val="en-CA" w:eastAsia="en-GB"/>
        </w:rPr>
        <w:t xml:space="preserve">, </w:t>
      </w:r>
      <w:r>
        <w:rPr>
          <w:sz w:val="20"/>
          <w:szCs w:val="22"/>
          <w:lang w:val="en-CA" w:eastAsia="en-GB"/>
        </w:rPr>
        <w:t>The Netherlands</w:t>
      </w:r>
      <w:r w:rsidRPr="00733981">
        <w:rPr>
          <w:sz w:val="20"/>
          <w:szCs w:val="22"/>
          <w:lang w:val="en-CA" w:eastAsia="en-GB"/>
        </w:rPr>
        <w:t>, Skyworks Solutions</w:t>
      </w:r>
      <w:r w:rsidR="00FD74CE">
        <w:rPr>
          <w:sz w:val="20"/>
          <w:szCs w:val="22"/>
          <w:lang w:val="en-CA" w:eastAsia="en-GB"/>
        </w:rPr>
        <w:t>, Inc</w:t>
      </w:r>
      <w:r>
        <w:rPr>
          <w:sz w:val="20"/>
          <w:szCs w:val="22"/>
          <w:lang w:val="en-CA" w:eastAsia="en-GB"/>
        </w:rPr>
        <w:t>.</w:t>
      </w:r>
    </w:p>
    <w:p w14:paraId="66202F51" w14:textId="26EB425B" w:rsidR="00733981" w:rsidRDefault="00733981"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733981">
        <w:rPr>
          <w:sz w:val="20"/>
          <w:szCs w:val="22"/>
          <w:lang w:val="en-CA" w:eastAsia="en-GB"/>
        </w:rPr>
        <w:t>R4-2419699</w:t>
      </w:r>
      <w:r>
        <w:rPr>
          <w:sz w:val="20"/>
          <w:szCs w:val="22"/>
          <w:lang w:val="en-CA" w:eastAsia="en-GB"/>
        </w:rPr>
        <w:t xml:space="preserve"> </w:t>
      </w:r>
      <w:r w:rsidRPr="00733981">
        <w:rPr>
          <w:sz w:val="20"/>
          <w:szCs w:val="22"/>
          <w:lang w:val="en-CA" w:eastAsia="en-GB"/>
        </w:rPr>
        <w:t>1UL HPUE NR-CA MSD Simplifications for Rel-19</w:t>
      </w:r>
      <w:r>
        <w:rPr>
          <w:sz w:val="20"/>
          <w:szCs w:val="22"/>
          <w:lang w:val="en-CA" w:eastAsia="en-GB"/>
        </w:rPr>
        <w:t xml:space="preserve">, </w:t>
      </w:r>
      <w:r w:rsidRPr="00733981">
        <w:rPr>
          <w:sz w:val="20"/>
          <w:szCs w:val="22"/>
          <w:lang w:val="en-CA" w:eastAsia="en-GB"/>
        </w:rPr>
        <w:t>3GPP TSG-RAN WG4 Meeting #11</w:t>
      </w:r>
      <w:r>
        <w:rPr>
          <w:sz w:val="20"/>
          <w:szCs w:val="22"/>
          <w:lang w:val="en-CA" w:eastAsia="en-GB"/>
        </w:rPr>
        <w:t>3</w:t>
      </w:r>
      <w:r w:rsidRPr="00733981">
        <w:rPr>
          <w:sz w:val="20"/>
          <w:szCs w:val="22"/>
          <w:lang w:val="en-CA" w:eastAsia="en-GB"/>
        </w:rPr>
        <w:t xml:space="preserve">, </w:t>
      </w:r>
      <w:r w:rsidR="00D069E8">
        <w:rPr>
          <w:sz w:val="20"/>
          <w:szCs w:val="22"/>
          <w:lang w:val="en-CA" w:eastAsia="en-GB"/>
        </w:rPr>
        <w:t>Orlando</w:t>
      </w:r>
      <w:r w:rsidRPr="00733981">
        <w:rPr>
          <w:sz w:val="20"/>
          <w:szCs w:val="22"/>
          <w:lang w:val="en-CA" w:eastAsia="en-GB"/>
        </w:rPr>
        <w:t xml:space="preserve">, </w:t>
      </w:r>
      <w:r w:rsidR="00D069E8">
        <w:rPr>
          <w:sz w:val="20"/>
          <w:szCs w:val="22"/>
          <w:lang w:val="en-CA" w:eastAsia="en-GB"/>
        </w:rPr>
        <w:t>USA</w:t>
      </w:r>
      <w:r w:rsidRPr="00733981">
        <w:rPr>
          <w:sz w:val="20"/>
          <w:szCs w:val="22"/>
          <w:lang w:val="en-CA" w:eastAsia="en-GB"/>
        </w:rPr>
        <w:t>, Skyworks Solutions</w:t>
      </w:r>
      <w:r w:rsidR="00FD74CE">
        <w:rPr>
          <w:sz w:val="20"/>
          <w:szCs w:val="22"/>
          <w:lang w:val="en-CA" w:eastAsia="en-GB"/>
        </w:rPr>
        <w:t>, Inc</w:t>
      </w:r>
      <w:r w:rsidRPr="00733981">
        <w:rPr>
          <w:sz w:val="20"/>
          <w:szCs w:val="22"/>
          <w:lang w:val="en-CA" w:eastAsia="en-GB"/>
        </w:rPr>
        <w:t>.</w:t>
      </w:r>
    </w:p>
    <w:p w14:paraId="27658593" w14:textId="734B6FA1" w:rsidR="00D069E8" w:rsidRDefault="00D069E8"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D069E8">
        <w:rPr>
          <w:sz w:val="20"/>
          <w:szCs w:val="22"/>
          <w:lang w:val="en-CA" w:eastAsia="en-GB"/>
        </w:rPr>
        <w:t>R4-2419712</w:t>
      </w:r>
      <w:r>
        <w:rPr>
          <w:sz w:val="20"/>
          <w:szCs w:val="22"/>
          <w:lang w:val="en-CA" w:eastAsia="en-GB"/>
        </w:rPr>
        <w:t xml:space="preserve"> </w:t>
      </w:r>
      <w:r w:rsidRPr="00D069E8">
        <w:rPr>
          <w:sz w:val="20"/>
          <w:szCs w:val="22"/>
          <w:lang w:val="en-CA" w:eastAsia="en-GB"/>
        </w:rPr>
        <w:t>1UL HPUE NR-CA MSD Observations</w:t>
      </w:r>
      <w:r>
        <w:rPr>
          <w:sz w:val="20"/>
          <w:szCs w:val="22"/>
          <w:lang w:val="en-CA" w:eastAsia="en-GB"/>
        </w:rPr>
        <w:t xml:space="preserve">, </w:t>
      </w:r>
      <w:r w:rsidRPr="00733981">
        <w:rPr>
          <w:sz w:val="20"/>
          <w:szCs w:val="22"/>
          <w:lang w:val="en-CA" w:eastAsia="en-GB"/>
        </w:rPr>
        <w:t>3GPP TSG-RAN WG4 Meeting #11</w:t>
      </w:r>
      <w:r>
        <w:rPr>
          <w:sz w:val="20"/>
          <w:szCs w:val="22"/>
          <w:lang w:val="en-CA" w:eastAsia="en-GB"/>
        </w:rPr>
        <w:t>3</w:t>
      </w:r>
      <w:r w:rsidRPr="00733981">
        <w:rPr>
          <w:sz w:val="20"/>
          <w:szCs w:val="22"/>
          <w:lang w:val="en-CA" w:eastAsia="en-GB"/>
        </w:rPr>
        <w:t xml:space="preserve">, </w:t>
      </w:r>
      <w:r>
        <w:rPr>
          <w:sz w:val="20"/>
          <w:szCs w:val="22"/>
          <w:lang w:val="en-CA" w:eastAsia="en-GB"/>
        </w:rPr>
        <w:t>Orlando</w:t>
      </w:r>
      <w:r w:rsidRPr="00733981">
        <w:rPr>
          <w:sz w:val="20"/>
          <w:szCs w:val="22"/>
          <w:lang w:val="en-CA" w:eastAsia="en-GB"/>
        </w:rPr>
        <w:t xml:space="preserve">, </w:t>
      </w:r>
      <w:r>
        <w:rPr>
          <w:sz w:val="20"/>
          <w:szCs w:val="22"/>
          <w:lang w:val="en-CA" w:eastAsia="en-GB"/>
        </w:rPr>
        <w:t>USA</w:t>
      </w:r>
      <w:r w:rsidRPr="00733981">
        <w:rPr>
          <w:sz w:val="20"/>
          <w:szCs w:val="22"/>
          <w:lang w:val="en-CA" w:eastAsia="en-GB"/>
        </w:rPr>
        <w:t>, Skyworks Solutions</w:t>
      </w:r>
      <w:r w:rsidR="00FD74CE">
        <w:rPr>
          <w:sz w:val="20"/>
          <w:szCs w:val="22"/>
          <w:lang w:val="en-CA" w:eastAsia="en-GB"/>
        </w:rPr>
        <w:t>, Inc</w:t>
      </w:r>
      <w:r w:rsidRPr="00733981">
        <w:rPr>
          <w:sz w:val="20"/>
          <w:szCs w:val="22"/>
          <w:lang w:val="en-CA" w:eastAsia="en-GB"/>
        </w:rPr>
        <w:t>.</w:t>
      </w:r>
    </w:p>
    <w:p w14:paraId="5FC8AF64" w14:textId="7E32FA3F" w:rsidR="00910A9F" w:rsidRDefault="00910A9F" w:rsidP="000D1D7A">
      <w:pPr>
        <w:numPr>
          <w:ilvl w:val="0"/>
          <w:numId w:val="30"/>
        </w:numPr>
        <w:tabs>
          <w:tab w:val="num" w:pos="360"/>
        </w:tabs>
        <w:overflowPunct w:val="0"/>
        <w:autoSpaceDE w:val="0"/>
        <w:autoSpaceDN w:val="0"/>
        <w:adjustRightInd w:val="0"/>
        <w:spacing w:after="120"/>
        <w:ind w:left="357" w:hanging="357"/>
        <w:textAlignment w:val="baseline"/>
        <w:rPr>
          <w:sz w:val="20"/>
          <w:szCs w:val="22"/>
          <w:lang w:val="en-CA" w:eastAsia="en-GB"/>
        </w:rPr>
      </w:pPr>
      <w:r w:rsidRPr="00910A9F">
        <w:rPr>
          <w:sz w:val="20"/>
          <w:szCs w:val="22"/>
          <w:lang w:val="en-CA" w:eastAsia="en-GB"/>
        </w:rPr>
        <w:t>R4-2219723</w:t>
      </w:r>
      <w:r>
        <w:rPr>
          <w:sz w:val="20"/>
          <w:szCs w:val="22"/>
          <w:lang w:val="en-CA" w:eastAsia="en-GB"/>
        </w:rPr>
        <w:t xml:space="preserve"> </w:t>
      </w:r>
      <w:r w:rsidRPr="00910A9F">
        <w:rPr>
          <w:sz w:val="20"/>
          <w:szCs w:val="22"/>
          <w:lang w:val="en-CA" w:eastAsia="en-GB"/>
        </w:rPr>
        <w:t>Preliminary REFSENS results for 1Tx and 2Tx PC2 FDD bands</w:t>
      </w:r>
      <w:r>
        <w:rPr>
          <w:sz w:val="20"/>
          <w:szCs w:val="22"/>
          <w:lang w:val="en-CA" w:eastAsia="en-GB"/>
        </w:rPr>
        <w:t xml:space="preserve">, </w:t>
      </w:r>
      <w:r w:rsidRPr="00733981">
        <w:rPr>
          <w:sz w:val="20"/>
          <w:szCs w:val="22"/>
          <w:lang w:val="en-CA" w:eastAsia="en-GB"/>
        </w:rPr>
        <w:t>3GPP TSG-RAN WG4 Meeting #1</w:t>
      </w:r>
      <w:r>
        <w:rPr>
          <w:sz w:val="20"/>
          <w:szCs w:val="22"/>
          <w:lang w:val="en-CA" w:eastAsia="en-GB"/>
        </w:rPr>
        <w:t>05</w:t>
      </w:r>
      <w:r w:rsidRPr="00733981">
        <w:rPr>
          <w:sz w:val="20"/>
          <w:szCs w:val="22"/>
          <w:lang w:val="en-CA" w:eastAsia="en-GB"/>
        </w:rPr>
        <w:t xml:space="preserve">, </w:t>
      </w:r>
      <w:r>
        <w:rPr>
          <w:sz w:val="20"/>
          <w:szCs w:val="22"/>
          <w:lang w:val="en-CA" w:eastAsia="en-GB"/>
        </w:rPr>
        <w:t>Toulouse</w:t>
      </w:r>
      <w:r w:rsidRPr="00733981">
        <w:rPr>
          <w:sz w:val="20"/>
          <w:szCs w:val="22"/>
          <w:lang w:val="en-CA" w:eastAsia="en-GB"/>
        </w:rPr>
        <w:t xml:space="preserve">, </w:t>
      </w:r>
      <w:r>
        <w:rPr>
          <w:sz w:val="20"/>
          <w:szCs w:val="22"/>
          <w:lang w:val="en-CA" w:eastAsia="en-GB"/>
        </w:rPr>
        <w:t>France</w:t>
      </w:r>
      <w:r w:rsidRPr="00733981">
        <w:rPr>
          <w:sz w:val="20"/>
          <w:szCs w:val="22"/>
          <w:lang w:val="en-CA" w:eastAsia="en-GB"/>
        </w:rPr>
        <w:t>, Skyworks Solutions</w:t>
      </w:r>
      <w:r w:rsidR="00FD74CE">
        <w:rPr>
          <w:sz w:val="20"/>
          <w:szCs w:val="22"/>
          <w:lang w:val="en-CA" w:eastAsia="en-GB"/>
        </w:rPr>
        <w:t>, Inc</w:t>
      </w:r>
      <w:r w:rsidRPr="00733981">
        <w:rPr>
          <w:sz w:val="20"/>
          <w:szCs w:val="22"/>
          <w:lang w:val="en-CA" w:eastAsia="en-GB"/>
        </w:rPr>
        <w:t>.</w:t>
      </w:r>
    </w:p>
    <w:p w14:paraId="72F2CB3A" w14:textId="77777777" w:rsidR="00CE3E55" w:rsidRPr="00453761" w:rsidRDefault="00CE3E55" w:rsidP="000D1D7A">
      <w:pPr>
        <w:numPr>
          <w:ilvl w:val="0"/>
          <w:numId w:val="30"/>
        </w:numPr>
        <w:tabs>
          <w:tab w:val="num" w:pos="360"/>
        </w:tabs>
        <w:overflowPunct w:val="0"/>
        <w:autoSpaceDE w:val="0"/>
        <w:autoSpaceDN w:val="0"/>
        <w:adjustRightInd w:val="0"/>
        <w:spacing w:after="120"/>
        <w:ind w:left="357" w:hanging="357"/>
        <w:textAlignment w:val="baseline"/>
        <w:rPr>
          <w:sz w:val="20"/>
          <w:lang w:val="en-CA" w:eastAsia="en-GB"/>
        </w:rPr>
      </w:pPr>
      <w:r w:rsidRPr="00453761">
        <w:rPr>
          <w:sz w:val="20"/>
          <w:lang w:val="en-CA" w:eastAsia="en-GB"/>
        </w:rPr>
        <w:t>R4-2215660</w:t>
      </w:r>
      <w:r w:rsidRPr="007C6850">
        <w:rPr>
          <w:sz w:val="20"/>
          <w:lang w:val="en-CA" w:eastAsia="en-GB"/>
        </w:rPr>
        <w:t>,</w:t>
      </w:r>
      <w:r w:rsidRPr="00453761">
        <w:rPr>
          <w:sz w:val="20"/>
          <w:lang w:val="en-CA" w:eastAsia="en-GB"/>
        </w:rPr>
        <w:t xml:space="preserve"> MSD analysis for CA_n3-n78 with PC2 n3 UL, 3GPP TSG-RAN WG4 Meeting #104bis-e, Electronic Meeting, Apple.</w:t>
      </w:r>
    </w:p>
    <w:p w14:paraId="676B707F" w14:textId="77777777" w:rsidR="00CE3E55" w:rsidRPr="00453761" w:rsidRDefault="00CE3E55" w:rsidP="000D1D7A">
      <w:pPr>
        <w:numPr>
          <w:ilvl w:val="0"/>
          <w:numId w:val="30"/>
        </w:numPr>
        <w:tabs>
          <w:tab w:val="num" w:pos="360"/>
        </w:tabs>
        <w:overflowPunct w:val="0"/>
        <w:autoSpaceDE w:val="0"/>
        <w:autoSpaceDN w:val="0"/>
        <w:adjustRightInd w:val="0"/>
        <w:spacing w:after="120"/>
        <w:ind w:left="357" w:hanging="357"/>
        <w:textAlignment w:val="baseline"/>
        <w:rPr>
          <w:sz w:val="20"/>
          <w:lang w:val="en-CA" w:eastAsia="en-GB"/>
        </w:rPr>
      </w:pPr>
      <w:r w:rsidRPr="00453761">
        <w:rPr>
          <w:sz w:val="20"/>
          <w:lang w:val="en-CA" w:eastAsia="en-GB"/>
        </w:rPr>
        <w:t>R4-2215895</w:t>
      </w:r>
      <w:r w:rsidRPr="007C6850">
        <w:rPr>
          <w:sz w:val="20"/>
          <w:lang w:val="en-CA" w:eastAsia="en-GB"/>
        </w:rPr>
        <w:t>,</w:t>
      </w:r>
      <w:r w:rsidRPr="00453761">
        <w:rPr>
          <w:sz w:val="20"/>
          <w:lang w:val="en-CA" w:eastAsia="en-GB"/>
        </w:rPr>
        <w:t xml:space="preserve"> On CA band combination of DL CA_n3-n78 with UL PC2 n3, 3GPP TSG-RAN WG4 Meeting #104bis-e, Electronic Meeting, ZTE Corporation, China Unicom.</w:t>
      </w:r>
    </w:p>
    <w:p w14:paraId="1FC79EDE" w14:textId="77777777" w:rsidR="00CE3E55" w:rsidRDefault="00CE3E55" w:rsidP="000D1D7A">
      <w:pPr>
        <w:numPr>
          <w:ilvl w:val="0"/>
          <w:numId w:val="30"/>
        </w:numPr>
        <w:tabs>
          <w:tab w:val="num" w:pos="360"/>
        </w:tabs>
        <w:overflowPunct w:val="0"/>
        <w:autoSpaceDE w:val="0"/>
        <w:autoSpaceDN w:val="0"/>
        <w:adjustRightInd w:val="0"/>
        <w:spacing w:after="120"/>
        <w:ind w:left="357" w:hanging="357"/>
        <w:textAlignment w:val="baseline"/>
        <w:rPr>
          <w:sz w:val="20"/>
          <w:lang w:val="en-CA" w:eastAsia="en-GB"/>
        </w:rPr>
      </w:pPr>
      <w:r w:rsidRPr="00453761">
        <w:rPr>
          <w:sz w:val="20"/>
          <w:lang w:val="en-CA" w:eastAsia="en-GB"/>
        </w:rPr>
        <w:t>R4- 2302731</w:t>
      </w:r>
      <w:r w:rsidRPr="007C6850">
        <w:rPr>
          <w:sz w:val="20"/>
          <w:lang w:val="en-CA" w:eastAsia="en-GB"/>
        </w:rPr>
        <w:t>,</w:t>
      </w:r>
      <w:r w:rsidRPr="00453761">
        <w:rPr>
          <w:sz w:val="20"/>
          <w:lang w:val="en-CA" w:eastAsia="en-GB"/>
        </w:rPr>
        <w:t xml:space="preserve"> MSD for CA_n3-n78 with PC2 n3 UL, 3GPP TSG-RAN WG4 Meeting #106, Athens, Greece, Huawei, </w:t>
      </w:r>
      <w:proofErr w:type="spellStart"/>
      <w:r w:rsidRPr="00453761">
        <w:rPr>
          <w:sz w:val="20"/>
          <w:lang w:val="en-CA" w:eastAsia="en-GB"/>
        </w:rPr>
        <w:t>HiSilicon</w:t>
      </w:r>
      <w:proofErr w:type="spellEnd"/>
      <w:r w:rsidRPr="00453761">
        <w:rPr>
          <w:sz w:val="20"/>
          <w:lang w:val="en-CA" w:eastAsia="en-GB"/>
        </w:rPr>
        <w:t>.</w:t>
      </w:r>
    </w:p>
    <w:p w14:paraId="15C825B7" w14:textId="677D9116" w:rsidR="006448AE" w:rsidRDefault="006448AE" w:rsidP="000D1D7A">
      <w:pPr>
        <w:numPr>
          <w:ilvl w:val="0"/>
          <w:numId w:val="30"/>
        </w:numPr>
        <w:tabs>
          <w:tab w:val="num" w:pos="360"/>
        </w:tabs>
        <w:overflowPunct w:val="0"/>
        <w:autoSpaceDE w:val="0"/>
        <w:autoSpaceDN w:val="0"/>
        <w:adjustRightInd w:val="0"/>
        <w:spacing w:after="120"/>
        <w:ind w:left="357" w:hanging="357"/>
        <w:textAlignment w:val="baseline"/>
        <w:rPr>
          <w:sz w:val="20"/>
          <w:lang w:val="en-CA" w:eastAsia="en-GB"/>
        </w:rPr>
      </w:pPr>
      <w:r w:rsidRPr="006448AE">
        <w:rPr>
          <w:sz w:val="20"/>
          <w:lang w:val="en-CA" w:eastAsia="en-GB"/>
        </w:rPr>
        <w:t>R4-2503239</w:t>
      </w:r>
      <w:r w:rsidR="00781CD6" w:rsidRPr="006448AE">
        <w:rPr>
          <w:sz w:val="20"/>
          <w:lang w:val="en-CA" w:eastAsia="en-GB"/>
        </w:rPr>
        <w:t xml:space="preserve">, </w:t>
      </w:r>
      <w:r w:rsidRPr="006448AE">
        <w:rPr>
          <w:sz w:val="20"/>
          <w:lang w:val="en-CA" w:eastAsia="en-GB"/>
        </w:rPr>
        <w:t>Unified HPUE 1UL/2UL MSD simplification proposals for Rel-19, 3GPP TSG-RAN WG4 Meeting #114bis, Wuhan,</w:t>
      </w:r>
      <w:r w:rsidRPr="00453761">
        <w:rPr>
          <w:sz w:val="20"/>
          <w:lang w:val="en-CA" w:eastAsia="en-GB"/>
        </w:rPr>
        <w:t xml:space="preserve"> </w:t>
      </w:r>
      <w:r>
        <w:rPr>
          <w:sz w:val="20"/>
          <w:lang w:val="en-CA" w:eastAsia="en-GB"/>
        </w:rPr>
        <w:t>China</w:t>
      </w:r>
      <w:r w:rsidRPr="00453761">
        <w:rPr>
          <w:sz w:val="20"/>
          <w:lang w:val="en-CA" w:eastAsia="en-GB"/>
        </w:rPr>
        <w:t xml:space="preserve">, </w:t>
      </w:r>
      <w:r w:rsidRPr="00AB2860">
        <w:rPr>
          <w:sz w:val="20"/>
          <w:lang w:val="en-CA" w:eastAsia="en-GB"/>
        </w:rPr>
        <w:t xml:space="preserve">Skyworks Solutions, </w:t>
      </w:r>
      <w:r w:rsidR="00FD74CE" w:rsidRPr="00AB2860">
        <w:rPr>
          <w:sz w:val="20"/>
          <w:lang w:val="en-CA" w:eastAsia="en-GB"/>
        </w:rPr>
        <w:t>I</w:t>
      </w:r>
      <w:r w:rsidRPr="00AB2860">
        <w:rPr>
          <w:sz w:val="20"/>
          <w:lang w:val="en-CA" w:eastAsia="en-GB"/>
        </w:rPr>
        <w:t>nc.</w:t>
      </w:r>
    </w:p>
    <w:p w14:paraId="0B3D434F" w14:textId="3A5B9275" w:rsidR="00910A9F" w:rsidRPr="006448AE" w:rsidRDefault="00910A9F" w:rsidP="006448AE">
      <w:pPr>
        <w:overflowPunct w:val="0"/>
        <w:autoSpaceDE w:val="0"/>
        <w:autoSpaceDN w:val="0"/>
        <w:adjustRightInd w:val="0"/>
        <w:spacing w:after="120"/>
        <w:textAlignment w:val="baseline"/>
        <w:rPr>
          <w:sz w:val="20"/>
          <w:szCs w:val="22"/>
          <w:lang w:val="en-CA" w:eastAsia="en-GB"/>
        </w:rPr>
      </w:pPr>
    </w:p>
    <w:p w14:paraId="70343331" w14:textId="7CC21F5B" w:rsidR="00D069E8" w:rsidRDefault="00D069E8" w:rsidP="00D069E8">
      <w:pPr>
        <w:overflowPunct w:val="0"/>
        <w:autoSpaceDE w:val="0"/>
        <w:autoSpaceDN w:val="0"/>
        <w:adjustRightInd w:val="0"/>
        <w:spacing w:after="120"/>
        <w:textAlignment w:val="baseline"/>
        <w:rPr>
          <w:sz w:val="20"/>
          <w:szCs w:val="22"/>
          <w:lang w:val="en-CA" w:eastAsia="en-GB"/>
        </w:rPr>
      </w:pPr>
    </w:p>
    <w:sectPr w:rsidR="00D069E8" w:rsidSect="00AF292C">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1764" w14:textId="77777777" w:rsidR="00F62DC6" w:rsidRDefault="00F62DC6">
      <w:r>
        <w:separator/>
      </w:r>
    </w:p>
  </w:endnote>
  <w:endnote w:type="continuationSeparator" w:id="0">
    <w:p w14:paraId="3534EC44" w14:textId="77777777" w:rsidR="00F62DC6" w:rsidRDefault="00F6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2461A" w14:textId="77777777" w:rsidR="00F62DC6" w:rsidRDefault="00F62DC6">
      <w:r>
        <w:separator/>
      </w:r>
    </w:p>
  </w:footnote>
  <w:footnote w:type="continuationSeparator" w:id="0">
    <w:p w14:paraId="0048F8F1" w14:textId="77777777" w:rsidR="00F62DC6" w:rsidRDefault="00F62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A255A7"/>
    <w:multiLevelType w:val="hybridMultilevel"/>
    <w:tmpl w:val="69C6575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EB41A5"/>
    <w:multiLevelType w:val="hybridMultilevel"/>
    <w:tmpl w:val="76E00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61F0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B1368"/>
    <w:multiLevelType w:val="hybridMultilevel"/>
    <w:tmpl w:val="D4FA26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64A54"/>
    <w:multiLevelType w:val="hybridMultilevel"/>
    <w:tmpl w:val="9C82D7B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358B5CC0"/>
    <w:multiLevelType w:val="hybridMultilevel"/>
    <w:tmpl w:val="F3BC23E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916A63"/>
    <w:multiLevelType w:val="hybridMultilevel"/>
    <w:tmpl w:val="706090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A46371A"/>
    <w:multiLevelType w:val="hybridMultilevel"/>
    <w:tmpl w:val="1A9E8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C96373"/>
    <w:multiLevelType w:val="hybridMultilevel"/>
    <w:tmpl w:val="1A9E8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D1F5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F5B39BD"/>
    <w:multiLevelType w:val="hybridMultilevel"/>
    <w:tmpl w:val="DCA2B8A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31"/>
  </w:num>
  <w:num w:numId="2" w16cid:durableId="1349913533">
    <w:abstractNumId w:val="9"/>
  </w:num>
  <w:num w:numId="3" w16cid:durableId="400566554">
    <w:abstractNumId w:val="2"/>
  </w:num>
  <w:num w:numId="4" w16cid:durableId="423499854">
    <w:abstractNumId w:val="1"/>
  </w:num>
  <w:num w:numId="5" w16cid:durableId="89937095">
    <w:abstractNumId w:val="0"/>
  </w:num>
  <w:num w:numId="6" w16cid:durableId="2075009769">
    <w:abstractNumId w:val="39"/>
  </w:num>
  <w:num w:numId="7" w16cid:durableId="1634945144">
    <w:abstractNumId w:val="40"/>
  </w:num>
  <w:num w:numId="8" w16cid:durableId="1184632903">
    <w:abstractNumId w:val="27"/>
  </w:num>
  <w:num w:numId="9" w16cid:durableId="1923373814">
    <w:abstractNumId w:val="22"/>
  </w:num>
  <w:num w:numId="10" w16cid:durableId="1334841013">
    <w:abstractNumId w:val="36"/>
  </w:num>
  <w:num w:numId="11" w16cid:durableId="2122989903">
    <w:abstractNumId w:val="14"/>
  </w:num>
  <w:num w:numId="12" w16cid:durableId="1666129742">
    <w:abstractNumId w:val="10"/>
  </w:num>
  <w:num w:numId="13" w16cid:durableId="480461822">
    <w:abstractNumId w:val="37"/>
  </w:num>
  <w:num w:numId="14" w16cid:durableId="1338385821">
    <w:abstractNumId w:val="5"/>
  </w:num>
  <w:num w:numId="15" w16cid:durableId="1559322966">
    <w:abstractNumId w:val="24"/>
  </w:num>
  <w:num w:numId="16" w16cid:durableId="863052073">
    <w:abstractNumId w:val="16"/>
  </w:num>
  <w:num w:numId="17" w16cid:durableId="671034770">
    <w:abstractNumId w:val="35"/>
  </w:num>
  <w:num w:numId="18" w16cid:durableId="1433427790">
    <w:abstractNumId w:val="38"/>
  </w:num>
  <w:num w:numId="19" w16cid:durableId="1978298057">
    <w:abstractNumId w:val="18"/>
  </w:num>
  <w:num w:numId="20" w16cid:durableId="159783833">
    <w:abstractNumId w:val="17"/>
  </w:num>
  <w:num w:numId="21" w16cid:durableId="1835487726">
    <w:abstractNumId w:val="20"/>
  </w:num>
  <w:num w:numId="22" w16cid:durableId="1542668801">
    <w:abstractNumId w:val="13"/>
  </w:num>
  <w:num w:numId="23" w16cid:durableId="556161930">
    <w:abstractNumId w:val="34"/>
  </w:num>
  <w:num w:numId="24" w16cid:durableId="558638379">
    <w:abstractNumId w:val="7"/>
  </w:num>
  <w:num w:numId="25" w16cid:durableId="231087159">
    <w:abstractNumId w:val="3"/>
  </w:num>
  <w:num w:numId="26" w16cid:durableId="1431389381">
    <w:abstractNumId w:val="33"/>
  </w:num>
  <w:num w:numId="27" w16cid:durableId="1606762795">
    <w:abstractNumId w:val="25"/>
  </w:num>
  <w:num w:numId="28" w16cid:durableId="130291047">
    <w:abstractNumId w:val="21"/>
  </w:num>
  <w:num w:numId="29" w16cid:durableId="1092623569">
    <w:abstractNumId w:val="26"/>
  </w:num>
  <w:num w:numId="30" w16cid:durableId="1993168799">
    <w:abstractNumId w:val="28"/>
  </w:num>
  <w:num w:numId="31" w16cid:durableId="624897456">
    <w:abstractNumId w:val="30"/>
  </w:num>
  <w:num w:numId="32" w16cid:durableId="1551382755">
    <w:abstractNumId w:val="8"/>
  </w:num>
  <w:num w:numId="33" w16cid:durableId="1189829807">
    <w:abstractNumId w:val="32"/>
  </w:num>
  <w:num w:numId="34" w16cid:durableId="730613545">
    <w:abstractNumId w:val="12"/>
  </w:num>
  <w:num w:numId="35" w16cid:durableId="1972859846">
    <w:abstractNumId w:val="19"/>
  </w:num>
  <w:num w:numId="36" w16cid:durableId="290599116">
    <w:abstractNumId w:val="6"/>
  </w:num>
  <w:num w:numId="37" w16cid:durableId="669717485">
    <w:abstractNumId w:val="4"/>
  </w:num>
  <w:num w:numId="38" w16cid:durableId="1870531752">
    <w:abstractNumId w:val="15"/>
  </w:num>
  <w:num w:numId="39" w16cid:durableId="926228651">
    <w:abstractNumId w:val="11"/>
  </w:num>
  <w:num w:numId="40" w16cid:durableId="1500583636">
    <w:abstractNumId w:val="29"/>
  </w:num>
  <w:num w:numId="41" w16cid:durableId="537200944">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329"/>
    <w:rsid w:val="00012660"/>
    <w:rsid w:val="00012EA1"/>
    <w:rsid w:val="00012FD8"/>
    <w:rsid w:val="0001357B"/>
    <w:rsid w:val="00013CB8"/>
    <w:rsid w:val="000144E1"/>
    <w:rsid w:val="00015330"/>
    <w:rsid w:val="00015561"/>
    <w:rsid w:val="0001565F"/>
    <w:rsid w:val="00015968"/>
    <w:rsid w:val="000167CC"/>
    <w:rsid w:val="00016B01"/>
    <w:rsid w:val="00016DC3"/>
    <w:rsid w:val="0001794A"/>
    <w:rsid w:val="0001798C"/>
    <w:rsid w:val="00017A6C"/>
    <w:rsid w:val="00017C43"/>
    <w:rsid w:val="00017F64"/>
    <w:rsid w:val="000207EC"/>
    <w:rsid w:val="000209CA"/>
    <w:rsid w:val="000211CB"/>
    <w:rsid w:val="000212D1"/>
    <w:rsid w:val="00021462"/>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6F80"/>
    <w:rsid w:val="0002717E"/>
    <w:rsid w:val="0002741F"/>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7DE"/>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D7A"/>
    <w:rsid w:val="000D1F85"/>
    <w:rsid w:val="000D22AB"/>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91E"/>
    <w:rsid w:val="00155E29"/>
    <w:rsid w:val="00156315"/>
    <w:rsid w:val="0015678B"/>
    <w:rsid w:val="00156E30"/>
    <w:rsid w:val="00157372"/>
    <w:rsid w:val="001578DC"/>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23"/>
    <w:rsid w:val="001839BB"/>
    <w:rsid w:val="00184CCE"/>
    <w:rsid w:val="00184CE8"/>
    <w:rsid w:val="00184E37"/>
    <w:rsid w:val="00184F44"/>
    <w:rsid w:val="00185090"/>
    <w:rsid w:val="0018544F"/>
    <w:rsid w:val="001854AC"/>
    <w:rsid w:val="001855F8"/>
    <w:rsid w:val="0018577F"/>
    <w:rsid w:val="0018594A"/>
    <w:rsid w:val="00186251"/>
    <w:rsid w:val="00186287"/>
    <w:rsid w:val="001863E9"/>
    <w:rsid w:val="001868C6"/>
    <w:rsid w:val="001868FB"/>
    <w:rsid w:val="00186F4E"/>
    <w:rsid w:val="00190251"/>
    <w:rsid w:val="00190DC6"/>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F57"/>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6F5E"/>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4EE5"/>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1E2"/>
    <w:rsid w:val="002248AD"/>
    <w:rsid w:val="0022499C"/>
    <w:rsid w:val="00224C23"/>
    <w:rsid w:val="002254C4"/>
    <w:rsid w:val="002256EF"/>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AA4"/>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068"/>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5F8"/>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AA5"/>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6F0"/>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480C"/>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9DD"/>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2"/>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37E16"/>
    <w:rsid w:val="00341108"/>
    <w:rsid w:val="00341464"/>
    <w:rsid w:val="00341777"/>
    <w:rsid w:val="00341B48"/>
    <w:rsid w:val="00341EAA"/>
    <w:rsid w:val="00341F41"/>
    <w:rsid w:val="003422A0"/>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0699"/>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E42"/>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629"/>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2FC7"/>
    <w:rsid w:val="003C3310"/>
    <w:rsid w:val="003C3387"/>
    <w:rsid w:val="003C3A78"/>
    <w:rsid w:val="003C3A96"/>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4A21"/>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0DB2"/>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6D89"/>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DC8"/>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02C"/>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90F"/>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2B7D"/>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1EA5"/>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D09"/>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6E27"/>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34A"/>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57B"/>
    <w:rsid w:val="004C5C34"/>
    <w:rsid w:val="004C62A4"/>
    <w:rsid w:val="004C6414"/>
    <w:rsid w:val="004C66B8"/>
    <w:rsid w:val="004C6E46"/>
    <w:rsid w:val="004C7404"/>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2E7"/>
    <w:rsid w:val="0052072E"/>
    <w:rsid w:val="00520922"/>
    <w:rsid w:val="00521410"/>
    <w:rsid w:val="005216D7"/>
    <w:rsid w:val="00521F4D"/>
    <w:rsid w:val="00521F69"/>
    <w:rsid w:val="00522074"/>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357"/>
    <w:rsid w:val="00542372"/>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DF2"/>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CD2"/>
    <w:rsid w:val="00566E95"/>
    <w:rsid w:val="005676B7"/>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2F73"/>
    <w:rsid w:val="005832FC"/>
    <w:rsid w:val="00583458"/>
    <w:rsid w:val="0058361C"/>
    <w:rsid w:val="00583841"/>
    <w:rsid w:val="00583FC8"/>
    <w:rsid w:val="005845C9"/>
    <w:rsid w:val="00584C04"/>
    <w:rsid w:val="00585A8D"/>
    <w:rsid w:val="005862F5"/>
    <w:rsid w:val="00586741"/>
    <w:rsid w:val="00586DD7"/>
    <w:rsid w:val="00586FB7"/>
    <w:rsid w:val="005871D5"/>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97F5E"/>
    <w:rsid w:val="005A04C3"/>
    <w:rsid w:val="005A0A5B"/>
    <w:rsid w:val="005A0D2E"/>
    <w:rsid w:val="005A0FDE"/>
    <w:rsid w:val="005A12BF"/>
    <w:rsid w:val="005A13DD"/>
    <w:rsid w:val="005A1564"/>
    <w:rsid w:val="005A3E49"/>
    <w:rsid w:val="005A5317"/>
    <w:rsid w:val="005A53E0"/>
    <w:rsid w:val="005A5608"/>
    <w:rsid w:val="005A57DC"/>
    <w:rsid w:val="005A57EC"/>
    <w:rsid w:val="005A591F"/>
    <w:rsid w:val="005A5B67"/>
    <w:rsid w:val="005A5EA8"/>
    <w:rsid w:val="005A63D1"/>
    <w:rsid w:val="005A6485"/>
    <w:rsid w:val="005A6C93"/>
    <w:rsid w:val="005A6F63"/>
    <w:rsid w:val="005A746F"/>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81A"/>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EFB"/>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251"/>
    <w:rsid w:val="005F7689"/>
    <w:rsid w:val="005F79E5"/>
    <w:rsid w:val="00600BB7"/>
    <w:rsid w:val="006010DC"/>
    <w:rsid w:val="0060118F"/>
    <w:rsid w:val="00601708"/>
    <w:rsid w:val="00601B7F"/>
    <w:rsid w:val="00601CDA"/>
    <w:rsid w:val="00601FC8"/>
    <w:rsid w:val="00601FD9"/>
    <w:rsid w:val="00602616"/>
    <w:rsid w:val="0060272D"/>
    <w:rsid w:val="00603293"/>
    <w:rsid w:val="006033F1"/>
    <w:rsid w:val="00603B6C"/>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3EEE"/>
    <w:rsid w:val="00614163"/>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763"/>
    <w:rsid w:val="00632A7E"/>
    <w:rsid w:val="00633449"/>
    <w:rsid w:val="00633B69"/>
    <w:rsid w:val="0063417B"/>
    <w:rsid w:val="0063428F"/>
    <w:rsid w:val="00634488"/>
    <w:rsid w:val="00634568"/>
    <w:rsid w:val="0063485F"/>
    <w:rsid w:val="00634C72"/>
    <w:rsid w:val="00635374"/>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8AE"/>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03"/>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E40"/>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2A3E"/>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97ECB"/>
    <w:rsid w:val="006A07E9"/>
    <w:rsid w:val="006A0A66"/>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945"/>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0D5"/>
    <w:rsid w:val="006E52CD"/>
    <w:rsid w:val="006E53DA"/>
    <w:rsid w:val="006E5443"/>
    <w:rsid w:val="006E5919"/>
    <w:rsid w:val="006E5933"/>
    <w:rsid w:val="006E639E"/>
    <w:rsid w:val="006E69BD"/>
    <w:rsid w:val="006E6AC9"/>
    <w:rsid w:val="006E7776"/>
    <w:rsid w:val="006E7F5A"/>
    <w:rsid w:val="006F0056"/>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18F"/>
    <w:rsid w:val="007005B7"/>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999"/>
    <w:rsid w:val="00715B88"/>
    <w:rsid w:val="00716C06"/>
    <w:rsid w:val="00716DAE"/>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4CD6"/>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981"/>
    <w:rsid w:val="00733DFB"/>
    <w:rsid w:val="00734A97"/>
    <w:rsid w:val="00734D05"/>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AD9"/>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56BE"/>
    <w:rsid w:val="00757399"/>
    <w:rsid w:val="007573F0"/>
    <w:rsid w:val="00757590"/>
    <w:rsid w:val="007575FE"/>
    <w:rsid w:val="00757788"/>
    <w:rsid w:val="00760451"/>
    <w:rsid w:val="0076125A"/>
    <w:rsid w:val="007619C1"/>
    <w:rsid w:val="00761F4B"/>
    <w:rsid w:val="00762235"/>
    <w:rsid w:val="00762539"/>
    <w:rsid w:val="00762928"/>
    <w:rsid w:val="00762AC9"/>
    <w:rsid w:val="00762B56"/>
    <w:rsid w:val="007637E0"/>
    <w:rsid w:val="007640F7"/>
    <w:rsid w:val="00764784"/>
    <w:rsid w:val="007649D1"/>
    <w:rsid w:val="007658C5"/>
    <w:rsid w:val="007659A7"/>
    <w:rsid w:val="00765D7C"/>
    <w:rsid w:val="0076611A"/>
    <w:rsid w:val="0076612A"/>
    <w:rsid w:val="00766154"/>
    <w:rsid w:val="007666AF"/>
    <w:rsid w:val="00766753"/>
    <w:rsid w:val="007670BF"/>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1CD6"/>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C08"/>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1A9"/>
    <w:rsid w:val="007C0623"/>
    <w:rsid w:val="007C0B09"/>
    <w:rsid w:val="007C1287"/>
    <w:rsid w:val="007C1ABF"/>
    <w:rsid w:val="007C1F77"/>
    <w:rsid w:val="007C2C98"/>
    <w:rsid w:val="007C31E4"/>
    <w:rsid w:val="007C366E"/>
    <w:rsid w:val="007C377E"/>
    <w:rsid w:val="007C3C4B"/>
    <w:rsid w:val="007C3D26"/>
    <w:rsid w:val="007C3E0B"/>
    <w:rsid w:val="007C401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23C"/>
    <w:rsid w:val="00810214"/>
    <w:rsid w:val="00811197"/>
    <w:rsid w:val="00811344"/>
    <w:rsid w:val="008113A0"/>
    <w:rsid w:val="008113E9"/>
    <w:rsid w:val="00811500"/>
    <w:rsid w:val="00811552"/>
    <w:rsid w:val="008119C1"/>
    <w:rsid w:val="00811A37"/>
    <w:rsid w:val="00811CF8"/>
    <w:rsid w:val="00811D17"/>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5DF"/>
    <w:rsid w:val="008236A1"/>
    <w:rsid w:val="008236CD"/>
    <w:rsid w:val="008239A4"/>
    <w:rsid w:val="008243C7"/>
    <w:rsid w:val="008245B2"/>
    <w:rsid w:val="008247C2"/>
    <w:rsid w:val="008248F2"/>
    <w:rsid w:val="00824B74"/>
    <w:rsid w:val="00824B90"/>
    <w:rsid w:val="00825A92"/>
    <w:rsid w:val="00825BAC"/>
    <w:rsid w:val="008267D9"/>
    <w:rsid w:val="00826A80"/>
    <w:rsid w:val="00826E0E"/>
    <w:rsid w:val="00827BE8"/>
    <w:rsid w:val="008301CC"/>
    <w:rsid w:val="0083025A"/>
    <w:rsid w:val="00830A03"/>
    <w:rsid w:val="008315E2"/>
    <w:rsid w:val="00831639"/>
    <w:rsid w:val="008316E1"/>
    <w:rsid w:val="00831B6A"/>
    <w:rsid w:val="0083269C"/>
    <w:rsid w:val="008327D0"/>
    <w:rsid w:val="0083312D"/>
    <w:rsid w:val="00833598"/>
    <w:rsid w:val="00833644"/>
    <w:rsid w:val="00833772"/>
    <w:rsid w:val="00833E59"/>
    <w:rsid w:val="00833F60"/>
    <w:rsid w:val="00833F75"/>
    <w:rsid w:val="00833F94"/>
    <w:rsid w:val="0083400D"/>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1222"/>
    <w:rsid w:val="00871CF1"/>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47F"/>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4C5"/>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AEB"/>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C7F8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0F12"/>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63B"/>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A9F"/>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68C7"/>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B5E"/>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A58"/>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68D"/>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6450"/>
    <w:rsid w:val="009F7625"/>
    <w:rsid w:val="009F77BF"/>
    <w:rsid w:val="009F79F2"/>
    <w:rsid w:val="00A003A6"/>
    <w:rsid w:val="00A003B9"/>
    <w:rsid w:val="00A007DD"/>
    <w:rsid w:val="00A00A56"/>
    <w:rsid w:val="00A01102"/>
    <w:rsid w:val="00A011CF"/>
    <w:rsid w:val="00A0179C"/>
    <w:rsid w:val="00A01E65"/>
    <w:rsid w:val="00A02801"/>
    <w:rsid w:val="00A02E0C"/>
    <w:rsid w:val="00A02F76"/>
    <w:rsid w:val="00A031D4"/>
    <w:rsid w:val="00A03B2C"/>
    <w:rsid w:val="00A03C81"/>
    <w:rsid w:val="00A044D5"/>
    <w:rsid w:val="00A048A4"/>
    <w:rsid w:val="00A04E1C"/>
    <w:rsid w:val="00A04F88"/>
    <w:rsid w:val="00A05EF4"/>
    <w:rsid w:val="00A063FB"/>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5AA"/>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4F84"/>
    <w:rsid w:val="00A45325"/>
    <w:rsid w:val="00A45403"/>
    <w:rsid w:val="00A45996"/>
    <w:rsid w:val="00A459E3"/>
    <w:rsid w:val="00A45A51"/>
    <w:rsid w:val="00A45D3F"/>
    <w:rsid w:val="00A45D59"/>
    <w:rsid w:val="00A46C8A"/>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5F03"/>
    <w:rsid w:val="00A76125"/>
    <w:rsid w:val="00A7613D"/>
    <w:rsid w:val="00A766B9"/>
    <w:rsid w:val="00A76A58"/>
    <w:rsid w:val="00A76EFE"/>
    <w:rsid w:val="00A77B5A"/>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6FDA"/>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2860"/>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243"/>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B0B"/>
    <w:rsid w:val="00AD4B27"/>
    <w:rsid w:val="00AD5093"/>
    <w:rsid w:val="00AD530D"/>
    <w:rsid w:val="00AD548A"/>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222E"/>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337"/>
    <w:rsid w:val="00AF143B"/>
    <w:rsid w:val="00AF1890"/>
    <w:rsid w:val="00AF24B1"/>
    <w:rsid w:val="00AF27A5"/>
    <w:rsid w:val="00AF292C"/>
    <w:rsid w:val="00AF2C07"/>
    <w:rsid w:val="00AF2C5B"/>
    <w:rsid w:val="00AF346D"/>
    <w:rsid w:val="00AF3473"/>
    <w:rsid w:val="00AF37DF"/>
    <w:rsid w:val="00AF3827"/>
    <w:rsid w:val="00AF39FB"/>
    <w:rsid w:val="00AF3C4E"/>
    <w:rsid w:val="00AF3D06"/>
    <w:rsid w:val="00AF3F61"/>
    <w:rsid w:val="00AF4860"/>
    <w:rsid w:val="00AF4BC0"/>
    <w:rsid w:val="00AF4C0F"/>
    <w:rsid w:val="00AF4E18"/>
    <w:rsid w:val="00AF5242"/>
    <w:rsid w:val="00AF5313"/>
    <w:rsid w:val="00AF58E4"/>
    <w:rsid w:val="00AF5C27"/>
    <w:rsid w:val="00AF6104"/>
    <w:rsid w:val="00AF720C"/>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849"/>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AEA"/>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5D7"/>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5A2"/>
    <w:rsid w:val="00B52DD8"/>
    <w:rsid w:val="00B52E1C"/>
    <w:rsid w:val="00B52FDC"/>
    <w:rsid w:val="00B53328"/>
    <w:rsid w:val="00B53FA9"/>
    <w:rsid w:val="00B544DB"/>
    <w:rsid w:val="00B54718"/>
    <w:rsid w:val="00B55129"/>
    <w:rsid w:val="00B55398"/>
    <w:rsid w:val="00B55742"/>
    <w:rsid w:val="00B55E48"/>
    <w:rsid w:val="00B56371"/>
    <w:rsid w:val="00B56505"/>
    <w:rsid w:val="00B567C4"/>
    <w:rsid w:val="00B56A38"/>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1E86"/>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87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0F8A"/>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208"/>
    <w:rsid w:val="00BD7E86"/>
    <w:rsid w:val="00BD7F2A"/>
    <w:rsid w:val="00BE015E"/>
    <w:rsid w:val="00BE0455"/>
    <w:rsid w:val="00BE0539"/>
    <w:rsid w:val="00BE0625"/>
    <w:rsid w:val="00BE071E"/>
    <w:rsid w:val="00BE0880"/>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A29"/>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C37"/>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1F9"/>
    <w:rsid w:val="00C1155D"/>
    <w:rsid w:val="00C11D41"/>
    <w:rsid w:val="00C12B05"/>
    <w:rsid w:val="00C12BFE"/>
    <w:rsid w:val="00C1304C"/>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17D"/>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0BA"/>
    <w:rsid w:val="00C42250"/>
    <w:rsid w:val="00C42998"/>
    <w:rsid w:val="00C42D6F"/>
    <w:rsid w:val="00C43178"/>
    <w:rsid w:val="00C43683"/>
    <w:rsid w:val="00C4418A"/>
    <w:rsid w:val="00C441B7"/>
    <w:rsid w:val="00C4427E"/>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529"/>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A95"/>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1BB0"/>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561"/>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3F43"/>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21B"/>
    <w:rsid w:val="00CD1A92"/>
    <w:rsid w:val="00CD1B52"/>
    <w:rsid w:val="00CD1F55"/>
    <w:rsid w:val="00CD1F64"/>
    <w:rsid w:val="00CD2A20"/>
    <w:rsid w:val="00CD37C7"/>
    <w:rsid w:val="00CD3CD0"/>
    <w:rsid w:val="00CD4B9E"/>
    <w:rsid w:val="00CD5367"/>
    <w:rsid w:val="00CD55AB"/>
    <w:rsid w:val="00CD55B4"/>
    <w:rsid w:val="00CD566E"/>
    <w:rsid w:val="00CD59DD"/>
    <w:rsid w:val="00CD6141"/>
    <w:rsid w:val="00CD646B"/>
    <w:rsid w:val="00CD6523"/>
    <w:rsid w:val="00CD6654"/>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2F"/>
    <w:rsid w:val="00CE2D4D"/>
    <w:rsid w:val="00CE3234"/>
    <w:rsid w:val="00CE3875"/>
    <w:rsid w:val="00CE3C10"/>
    <w:rsid w:val="00CE3E55"/>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375"/>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69E8"/>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BDC"/>
    <w:rsid w:val="00D21D43"/>
    <w:rsid w:val="00D227E8"/>
    <w:rsid w:val="00D22C6B"/>
    <w:rsid w:val="00D22DCB"/>
    <w:rsid w:val="00D23039"/>
    <w:rsid w:val="00D23314"/>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8CD"/>
    <w:rsid w:val="00D57901"/>
    <w:rsid w:val="00D60117"/>
    <w:rsid w:val="00D601D8"/>
    <w:rsid w:val="00D60532"/>
    <w:rsid w:val="00D60693"/>
    <w:rsid w:val="00D60CDA"/>
    <w:rsid w:val="00D61520"/>
    <w:rsid w:val="00D61DAB"/>
    <w:rsid w:val="00D61E64"/>
    <w:rsid w:val="00D62C08"/>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3FB9"/>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30E"/>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5B9C"/>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3C5C"/>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B25"/>
    <w:rsid w:val="00DC0E16"/>
    <w:rsid w:val="00DC0E20"/>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B96"/>
    <w:rsid w:val="00DC6D5F"/>
    <w:rsid w:val="00DC6D62"/>
    <w:rsid w:val="00DC6E46"/>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4D0"/>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08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656"/>
    <w:rsid w:val="00DE7A06"/>
    <w:rsid w:val="00DE7C27"/>
    <w:rsid w:val="00DE7C8A"/>
    <w:rsid w:val="00DE7D8F"/>
    <w:rsid w:val="00DF0257"/>
    <w:rsid w:val="00DF06A6"/>
    <w:rsid w:val="00DF07BA"/>
    <w:rsid w:val="00DF0978"/>
    <w:rsid w:val="00DF1E27"/>
    <w:rsid w:val="00DF1FEB"/>
    <w:rsid w:val="00DF2A1A"/>
    <w:rsid w:val="00DF2B4D"/>
    <w:rsid w:val="00DF37E0"/>
    <w:rsid w:val="00DF3845"/>
    <w:rsid w:val="00DF3994"/>
    <w:rsid w:val="00DF3E3A"/>
    <w:rsid w:val="00DF470B"/>
    <w:rsid w:val="00DF552C"/>
    <w:rsid w:val="00DF557B"/>
    <w:rsid w:val="00DF5672"/>
    <w:rsid w:val="00DF5CBA"/>
    <w:rsid w:val="00DF62E3"/>
    <w:rsid w:val="00DF669B"/>
    <w:rsid w:val="00DF68C6"/>
    <w:rsid w:val="00DF6988"/>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0BE"/>
    <w:rsid w:val="00E1125B"/>
    <w:rsid w:val="00E119DC"/>
    <w:rsid w:val="00E11E77"/>
    <w:rsid w:val="00E12A60"/>
    <w:rsid w:val="00E12C6F"/>
    <w:rsid w:val="00E13024"/>
    <w:rsid w:val="00E13376"/>
    <w:rsid w:val="00E133B7"/>
    <w:rsid w:val="00E139CA"/>
    <w:rsid w:val="00E13A99"/>
    <w:rsid w:val="00E142D8"/>
    <w:rsid w:val="00E14851"/>
    <w:rsid w:val="00E14A14"/>
    <w:rsid w:val="00E14E3B"/>
    <w:rsid w:val="00E1521B"/>
    <w:rsid w:val="00E155E3"/>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88"/>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34"/>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500"/>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D1F"/>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2F8"/>
    <w:rsid w:val="00E654CB"/>
    <w:rsid w:val="00E66FEF"/>
    <w:rsid w:val="00E671F9"/>
    <w:rsid w:val="00E67411"/>
    <w:rsid w:val="00E6794B"/>
    <w:rsid w:val="00E679E9"/>
    <w:rsid w:val="00E67DE9"/>
    <w:rsid w:val="00E67FD8"/>
    <w:rsid w:val="00E70516"/>
    <w:rsid w:val="00E70FDB"/>
    <w:rsid w:val="00E71200"/>
    <w:rsid w:val="00E71905"/>
    <w:rsid w:val="00E71928"/>
    <w:rsid w:val="00E719C5"/>
    <w:rsid w:val="00E71AFF"/>
    <w:rsid w:val="00E71F3F"/>
    <w:rsid w:val="00E71FDD"/>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BD3"/>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3F0E"/>
    <w:rsid w:val="00EA46C2"/>
    <w:rsid w:val="00EA476C"/>
    <w:rsid w:val="00EA4A55"/>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31"/>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435"/>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05F"/>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445"/>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103"/>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47918"/>
    <w:rsid w:val="00F503C7"/>
    <w:rsid w:val="00F505A3"/>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2DC6"/>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A0"/>
    <w:rsid w:val="00F76DCD"/>
    <w:rsid w:val="00F77AFD"/>
    <w:rsid w:val="00F77E58"/>
    <w:rsid w:val="00F80276"/>
    <w:rsid w:val="00F80478"/>
    <w:rsid w:val="00F80DBD"/>
    <w:rsid w:val="00F81191"/>
    <w:rsid w:val="00F81236"/>
    <w:rsid w:val="00F826BC"/>
    <w:rsid w:val="00F829B1"/>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6BA2"/>
    <w:rsid w:val="00F97E2C"/>
    <w:rsid w:val="00F97ECB"/>
    <w:rsid w:val="00FA13B8"/>
    <w:rsid w:val="00FA14AD"/>
    <w:rsid w:val="00FA1591"/>
    <w:rsid w:val="00FA1C8E"/>
    <w:rsid w:val="00FA2208"/>
    <w:rsid w:val="00FA23CD"/>
    <w:rsid w:val="00FA2B5F"/>
    <w:rsid w:val="00FA3B13"/>
    <w:rsid w:val="00FA3F39"/>
    <w:rsid w:val="00FA3FFD"/>
    <w:rsid w:val="00FA4C15"/>
    <w:rsid w:val="00FA4F7F"/>
    <w:rsid w:val="00FA5242"/>
    <w:rsid w:val="00FA54A1"/>
    <w:rsid w:val="00FA594D"/>
    <w:rsid w:val="00FA6D30"/>
    <w:rsid w:val="00FA6FB9"/>
    <w:rsid w:val="00FA74E6"/>
    <w:rsid w:val="00FA78E2"/>
    <w:rsid w:val="00FA7DC8"/>
    <w:rsid w:val="00FB0A55"/>
    <w:rsid w:val="00FB0EC4"/>
    <w:rsid w:val="00FB188B"/>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4FD6"/>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637"/>
    <w:rsid w:val="00FD57ED"/>
    <w:rsid w:val="00FD5823"/>
    <w:rsid w:val="00FD59DA"/>
    <w:rsid w:val="00FD5D12"/>
    <w:rsid w:val="00FD623A"/>
    <w:rsid w:val="00FD65F2"/>
    <w:rsid w:val="00FD6624"/>
    <w:rsid w:val="00FD6746"/>
    <w:rsid w:val="00FD688C"/>
    <w:rsid w:val="00FD6A71"/>
    <w:rsid w:val="00FD6B96"/>
    <w:rsid w:val="00FD6D28"/>
    <w:rsid w:val="00FD71C0"/>
    <w:rsid w:val="00FD73B5"/>
    <w:rsid w:val="00FD74CE"/>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6F0"/>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jc w:val="both"/>
    </w:pPr>
    <w:rPr>
      <w:rFonts w:eastAsia="SimSun"/>
      <w:kern w:val="2"/>
      <w:sz w:val="21"/>
      <w:lang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ind w:firstLineChars="200" w:firstLine="420"/>
    </w:pPr>
    <w:rPr>
      <w:rFonts w:ascii="SimSun" w:eastAsia="SimSun" w:hAnsi="SimSun" w:cs="SimSun"/>
      <w:lang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jc w:val="both"/>
    </w:pPr>
    <w:rPr>
      <w:rFonts w:eastAsia="SimSun"/>
      <w:kern w:val="2"/>
      <w:sz w:val="21"/>
      <w:lang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lang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jc w:val="both"/>
    </w:pPr>
    <w:rPr>
      <w:rFonts w:eastAsia="SimSun"/>
      <w:kern w:val="2"/>
      <w:sz w:val="21"/>
      <w:lang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jc w:val="both"/>
    </w:pPr>
    <w:rPr>
      <w:rFonts w:eastAsia="SimSun"/>
      <w:kern w:val="2"/>
      <w:sz w:val="21"/>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jc w:val="both"/>
    </w:pPr>
    <w:rPr>
      <w:rFonts w:eastAsia="SimSun"/>
      <w:kern w:val="2"/>
      <w:sz w:val="21"/>
      <w:lang w:eastAsia="zh-CN"/>
    </w:rPr>
  </w:style>
  <w:style w:type="paragraph" w:customStyle="1" w:styleId="2CharChar">
    <w:name w:val="字元 字元2 Char Char"/>
    <w:basedOn w:val="Normal"/>
    <w:semiHidden/>
    <w:qFormat/>
    <w:pPr>
      <w:widowControl w:val="0"/>
      <w:jc w:val="both"/>
    </w:pPr>
    <w:rPr>
      <w:rFonts w:ascii="Arial" w:eastAsia="SimSun" w:hAnsi="Arial" w:cs="Arial"/>
      <w:color w:val="0000FF"/>
      <w:kern w:val="2"/>
      <w:lang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style>
  <w:style w:type="paragraph" w:customStyle="1" w:styleId="font5">
    <w:name w:val="font5"/>
    <w:basedOn w:val="Normal"/>
    <w:qFormat/>
    <w:rsid w:val="00CE5763"/>
    <w:pPr>
      <w:spacing w:before="100" w:beforeAutospacing="1" w:after="100" w:afterAutospacing="1"/>
    </w:pPr>
    <w:rPr>
      <w:rFonts w:ascii="Arial" w:hAnsi="Arial" w:cs="Arial"/>
      <w:b/>
      <w:bCs/>
      <w:sz w:val="18"/>
      <w:szCs w:val="18"/>
    </w:rPr>
  </w:style>
  <w:style w:type="paragraph" w:customStyle="1" w:styleId="font6">
    <w:name w:val="font6"/>
    <w:basedOn w:val="Normal"/>
    <w:rsid w:val="00CE5763"/>
    <w:pPr>
      <w:spacing w:before="100" w:beforeAutospacing="1" w:after="100" w:afterAutospacing="1"/>
    </w:pPr>
    <w:rPr>
      <w:rFonts w:ascii="Arial" w:hAnsi="Arial" w:cs="Arial"/>
      <w:b/>
      <w:bCs/>
      <w:sz w:val="18"/>
      <w:szCs w:val="18"/>
    </w:rPr>
  </w:style>
  <w:style w:type="paragraph" w:customStyle="1" w:styleId="font7">
    <w:name w:val="font7"/>
    <w:basedOn w:val="Normal"/>
    <w:rsid w:val="00CE5763"/>
    <w:pPr>
      <w:spacing w:before="100" w:beforeAutospacing="1" w:after="100" w:afterAutospacing="1"/>
    </w:pPr>
    <w:rPr>
      <w:rFonts w:ascii="Arial" w:hAnsi="Arial" w:cs="Arial"/>
      <w:sz w:val="18"/>
      <w:szCs w:val="18"/>
    </w:rPr>
  </w:style>
  <w:style w:type="paragraph" w:customStyle="1" w:styleId="font8">
    <w:name w:val="font8"/>
    <w:basedOn w:val="Normal"/>
    <w:rsid w:val="00CE5763"/>
    <w:pPr>
      <w:spacing w:before="100" w:beforeAutospacing="1" w:after="100" w:afterAutospacing="1"/>
    </w:pPr>
    <w:rPr>
      <w:rFonts w:ascii="Arial" w:hAnsi="Arial" w:cs="Arial"/>
      <w:sz w:val="18"/>
      <w:szCs w:val="18"/>
    </w:rPr>
  </w:style>
  <w:style w:type="paragraph" w:customStyle="1" w:styleId="font9">
    <w:name w:val="font9"/>
    <w:basedOn w:val="Normal"/>
    <w:rsid w:val="00CE5763"/>
    <w:pPr>
      <w:spacing w:before="100" w:beforeAutospacing="1" w:after="100" w:afterAutospacing="1"/>
    </w:pPr>
    <w:rPr>
      <w:rFonts w:ascii="Arial" w:hAnsi="Arial" w:cs="Arial"/>
    </w:rPr>
  </w:style>
  <w:style w:type="paragraph" w:customStyle="1" w:styleId="font10">
    <w:name w:val="font10"/>
    <w:basedOn w:val="Normal"/>
    <w:rsid w:val="00CE5763"/>
    <w:pPr>
      <w:spacing w:before="100" w:beforeAutospacing="1" w:after="100" w:afterAutospacing="1"/>
    </w:pPr>
    <w:rPr>
      <w:rFonts w:ascii="Arial" w:hAnsi="Arial" w:cs="Arial"/>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rPr>
  </w:style>
  <w:style w:type="paragraph" w:customStyle="1" w:styleId="xl71">
    <w:name w:val="xl71"/>
    <w:basedOn w:val="Normal"/>
    <w:qFormat/>
    <w:rsid w:val="00CE5763"/>
    <w:pPr>
      <w:spacing w:before="100" w:beforeAutospacing="1" w:after="100" w:afterAutospacing="1"/>
      <w:jc w:val="center"/>
      <w:textAlignment w:val="center"/>
    </w:p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8"/>
      <w:szCs w:val="18"/>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hAnsi="Arial" w:cs="Arial"/>
      <w:sz w:val="18"/>
      <w:szCs w:val="18"/>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hAnsi="Arial" w:cs="Arial"/>
      <w:sz w:val="18"/>
      <w:szCs w:val="18"/>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lang w:val="fr-FR" w:eastAsia="ko-KR"/>
    </w:rPr>
  </w:style>
  <w:style w:type="paragraph" w:customStyle="1" w:styleId="p20">
    <w:name w:val="p20"/>
    <w:basedOn w:val="Normal"/>
    <w:qFormat/>
    <w:rsid w:val="0032584D"/>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lang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jc w:val="center"/>
      <w:textAlignment w:val="baseline"/>
    </w:pPr>
    <w:rPr>
      <w:sz w:val="20"/>
      <w:lang w:eastAsia="en-GB"/>
    </w:rPr>
  </w:style>
  <w:style w:type="paragraph" w:customStyle="1" w:styleId="t2">
    <w:name w:val="t2"/>
    <w:basedOn w:val="Normal"/>
    <w:uiPriority w:val="99"/>
    <w:qFormat/>
    <w:rsid w:val="0032584D"/>
    <w:pPr>
      <w:overflowPunct w:val="0"/>
      <w:autoSpaceDE w:val="0"/>
      <w:autoSpaceDN w:val="0"/>
      <w:adjustRightInd w:val="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uiPriority w:val="99"/>
    <w:qFormat/>
    <w:rsid w:val="0032584D"/>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szCs w:val="24"/>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line="280" w:lineRule="atLeast"/>
      <w:ind w:left="360" w:hanging="360"/>
      <w:jc w:val="both"/>
      <w:textAlignment w:val="baseline"/>
    </w:pPr>
    <w:rPr>
      <w:rFonts w:ascii="Bookman" w:eastAsia="SimSun" w:hAnsi="Bookman"/>
      <w:sz w:val="20"/>
      <w:lang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eastAsia="ja-JP"/>
    </w:rPr>
  </w:style>
  <w:style w:type="paragraph" w:customStyle="1" w:styleId="TdocText">
    <w:name w:val="Tdoc_Text"/>
    <w:basedOn w:val="Normal"/>
    <w:uiPriority w:val="99"/>
    <w:qFormat/>
    <w:rsid w:val="0032584D"/>
    <w:pPr>
      <w:overflowPunct w:val="0"/>
      <w:autoSpaceDE w:val="0"/>
      <w:autoSpaceDN w:val="0"/>
      <w:adjustRightInd w:val="0"/>
      <w:spacing w:before="120"/>
      <w:jc w:val="both"/>
      <w:textAlignment w:val="baseline"/>
    </w:pPr>
    <w:rPr>
      <w:rFonts w:eastAsia="SimSun"/>
      <w:sz w:val="20"/>
      <w:lang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line="280" w:lineRule="atLeast"/>
      <w:jc w:val="center"/>
      <w:textAlignment w:val="baseline"/>
    </w:pPr>
    <w:rPr>
      <w:rFonts w:ascii="Bookman" w:eastAsia="SimSun" w:hAnsi="Bookman"/>
      <w:sz w:val="20"/>
      <w:lang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lang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ind w:left="454" w:hanging="454"/>
      <w:textAlignment w:val="baseline"/>
    </w:pPr>
    <w:rPr>
      <w:rFonts w:ascii="Arial" w:eastAsia="SimSun" w:hAnsi="Arial"/>
      <w:sz w:val="16"/>
      <w:lang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textAlignment w:val="baseline"/>
    </w:pPr>
    <w:rPr>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szCs w:val="24"/>
      <w:lang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lang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lang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lang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lang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lang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lang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lang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ind w:left="1622" w:hanging="363"/>
      <w:textAlignment w:val="baseline"/>
    </w:pPr>
    <w:rPr>
      <w:rFonts w:ascii="Arial" w:hAnsi="Arial"/>
      <w:sz w:val="20"/>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ind w:left="1260" w:hanging="1260"/>
      <w:textAlignment w:val="baseline"/>
    </w:pPr>
    <w:rPr>
      <w:color w:val="0000FF"/>
      <w:sz w:val="20"/>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ind w:left="1622" w:hanging="363"/>
      <w:textAlignment w:val="baseline"/>
    </w:pPr>
    <w:rPr>
      <w:sz w:val="20"/>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hAnsi="Book Antiqua"/>
      <w:i/>
      <w:sz w:val="20"/>
      <w:lang w:eastAsia="en-GB"/>
    </w:rPr>
  </w:style>
  <w:style w:type="paragraph" w:customStyle="1" w:styleId="OutBox1">
    <w:name w:val="Out Box 1"/>
    <w:basedOn w:val="Normal"/>
    <w:uiPriority w:val="99"/>
    <w:qFormat/>
    <w:rsid w:val="0032584D"/>
    <w:pPr>
      <w:overflowPunct w:val="0"/>
      <w:autoSpaceDE w:val="0"/>
      <w:autoSpaceDN w:val="0"/>
      <w:adjustRightInd w:val="0"/>
      <w:spacing w:before="120"/>
      <w:ind w:left="1170" w:right="86" w:hanging="450"/>
      <w:textAlignment w:val="baseline"/>
    </w:pPr>
    <w:rPr>
      <w:rFonts w:ascii="Times" w:eastAsia="SimSun" w:hAnsi="Times"/>
      <w:color w:val="000000"/>
      <w:sz w:val="20"/>
      <w:lang w:eastAsia="zh-CN"/>
    </w:rPr>
  </w:style>
  <w:style w:type="paragraph" w:customStyle="1" w:styleId="TableText2">
    <w:name w:val="Table Text"/>
    <w:basedOn w:val="Normal"/>
    <w:uiPriority w:val="99"/>
    <w:qFormat/>
    <w:rsid w:val="0032584D"/>
    <w:pPr>
      <w:keepLines/>
      <w:overflowPunct w:val="0"/>
      <w:autoSpaceDE w:val="0"/>
      <w:autoSpaceDN w:val="0"/>
      <w:adjustRightInd w:val="0"/>
      <w:textAlignment w:val="baseline"/>
    </w:pPr>
    <w:rPr>
      <w:rFonts w:ascii="Book Antiqua" w:eastAsia="SimSun" w:hAnsi="Book Antiqua"/>
      <w:sz w:val="16"/>
      <w:lang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lang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line="436" w:lineRule="exact"/>
      <w:ind w:left="357"/>
      <w:outlineLvl w:val="3"/>
    </w:pPr>
    <w:rPr>
      <w:rFonts w:eastAsia="SimSun" w:cs="Times New Roman"/>
      <w:b/>
      <w:kern w:val="2"/>
      <w:lang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ind w:left="812" w:hanging="360"/>
      <w:jc w:val="both"/>
      <w:textAlignment w:val="baseline"/>
    </w:pPr>
    <w:rPr>
      <w:rFonts w:ascii="Arial" w:eastAsia="SimSun" w:hAnsi="Arial"/>
      <w:b/>
      <w:u w:val="single"/>
      <w:lang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ind w:left="720"/>
      <w:textAlignment w:val="baseline"/>
    </w:pPr>
    <w:rPr>
      <w:rFonts w:ascii="Arial" w:hAnsi="Arial"/>
      <w:b/>
      <w:sz w:val="20"/>
      <w:lang w:eastAsia="en-GB"/>
    </w:rPr>
  </w:style>
  <w:style w:type="character" w:customStyle="1" w:styleId="EmailDiscussionChar">
    <w:name w:val="EmailDiscussion Char"/>
    <w:link w:val="EmailDiscussion"/>
    <w:uiPriority w:val="99"/>
    <w:qFormat/>
    <w:locked/>
    <w:rsid w:val="0032584D"/>
    <w:rPr>
      <w:rFonts w:ascii="Arial" w:eastAsia="Times New Roman"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textAlignment w:val="baseline"/>
    </w:pPr>
    <w:rPr>
      <w:rFonts w:ascii="Arial" w:hAnsi="Arial" w:cs="Arial"/>
      <w:b/>
      <w:sz w:val="20"/>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ind w:left="1622" w:hanging="363"/>
      <w:textAlignment w:val="baseline"/>
    </w:pPr>
    <w:rPr>
      <w:rFonts w:ascii="Arial" w:hAnsi="Arial"/>
      <w:sz w:val="20"/>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lang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ind w:left="540"/>
      <w:jc w:val="both"/>
      <w:textAlignment w:val="baseline"/>
    </w:pPr>
    <w:rPr>
      <w:rFonts w:ascii="Arial" w:hAnsi="Arial"/>
      <w:sz w:val="20"/>
      <w:lang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19785617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377976558">
      <w:bodyDiv w:val="1"/>
      <w:marLeft w:val="0"/>
      <w:marRight w:val="0"/>
      <w:marTop w:val="0"/>
      <w:marBottom w:val="0"/>
      <w:divBdr>
        <w:top w:val="none" w:sz="0" w:space="0" w:color="auto"/>
        <w:left w:val="none" w:sz="0" w:space="0" w:color="auto"/>
        <w:bottom w:val="none" w:sz="0" w:space="0" w:color="auto"/>
        <w:right w:val="none" w:sz="0" w:space="0" w:color="auto"/>
      </w:divBdr>
    </w:div>
    <w:div w:id="425661613">
      <w:bodyDiv w:val="1"/>
      <w:marLeft w:val="0"/>
      <w:marRight w:val="0"/>
      <w:marTop w:val="0"/>
      <w:marBottom w:val="0"/>
      <w:divBdr>
        <w:top w:val="none" w:sz="0" w:space="0" w:color="auto"/>
        <w:left w:val="none" w:sz="0" w:space="0" w:color="auto"/>
        <w:bottom w:val="none" w:sz="0" w:space="0" w:color="auto"/>
        <w:right w:val="none" w:sz="0" w:space="0" w:color="auto"/>
      </w:divBdr>
    </w:div>
    <w:div w:id="435911324">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51506100">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15991206">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46986710">
      <w:bodyDiv w:val="1"/>
      <w:marLeft w:val="0"/>
      <w:marRight w:val="0"/>
      <w:marTop w:val="0"/>
      <w:marBottom w:val="0"/>
      <w:divBdr>
        <w:top w:val="none" w:sz="0" w:space="0" w:color="auto"/>
        <w:left w:val="none" w:sz="0" w:space="0" w:color="auto"/>
        <w:bottom w:val="none" w:sz="0" w:space="0" w:color="auto"/>
        <w:right w:val="none" w:sz="0" w:space="0" w:color="auto"/>
      </w:divBdr>
    </w:div>
    <w:div w:id="1585722089">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25011078">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TotalTime>
  <Pages>6</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4</cp:revision>
  <cp:lastPrinted>2024-08-08T01:37:00Z</cp:lastPrinted>
  <dcterms:created xsi:type="dcterms:W3CDTF">2025-03-28T23:18:00Z</dcterms:created>
  <dcterms:modified xsi:type="dcterms:W3CDTF">2025-03-28T23:25:00Z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